
<file path=[Content_Types].xml><?xml version="1.0" encoding="utf-8"?>
<Types xmlns="http://schemas.openxmlformats.org/package/2006/content-types">
  <Default Extension="xml" ContentType="application/xml"/>
  <Default Extension="jpeg" ContentType="image/jpe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Lines="50" w:line="160" w:lineRule="atLeast"/>
        <w:ind w:firstLine="386" w:firstLineChars="160"/>
        <w:jc w:val="center"/>
        <w:rPr>
          <w:rFonts w:cs="Times New Roman"/>
          <w:b/>
          <w:kern w:val="0"/>
        </w:rPr>
      </w:pPr>
      <w:bookmarkStart w:id="0" w:name="_Toc485124291"/>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autoSpaceDE w:val="0"/>
        <w:autoSpaceDN w:val="0"/>
        <w:spacing w:beforeLines="50" w:line="160" w:lineRule="atLeast"/>
        <w:ind w:firstLine="386" w:firstLineChars="160"/>
        <w:jc w:val="center"/>
        <w:rPr>
          <w:rFonts w:cs="Times New Roman"/>
          <w:b/>
          <w:kern w:val="0"/>
        </w:rPr>
      </w:pPr>
    </w:p>
    <w:p>
      <w:pPr>
        <w:snapToGrid w:val="0"/>
        <w:jc w:val="center"/>
        <w:rPr>
          <w:rFonts w:hint="eastAsia" w:ascii="黑体" w:hAnsi="黑体" w:eastAsia="黑体" w:cs="Times New Roman"/>
          <w:spacing w:val="20"/>
          <w:sz w:val="84"/>
          <w:szCs w:val="84"/>
        </w:rPr>
      </w:pPr>
      <w:r>
        <w:rPr>
          <w:rFonts w:hint="eastAsia" w:ascii="楷体" w:hAnsi="楷体" w:eastAsia="楷体" w:cs="楷体"/>
          <w:sz w:val="36"/>
          <w:szCs w:val="36"/>
          <w:lang w:eastAsia="zh-CN"/>
        </w:rPr>
        <w:t>曲沃县宏都矿业有限公司年加工20万吨铁精粉建设项目</w:t>
      </w:r>
      <w:r>
        <w:rPr>
          <w:rFonts w:ascii="黑体" w:hAnsi="黑体" w:eastAsia="黑体" w:cs="Times New Roman"/>
          <w:spacing w:val="20"/>
          <w:sz w:val="84"/>
          <w:szCs w:val="84"/>
        </w:rPr>
        <w:t>水土保持方案报告</w:t>
      </w:r>
      <w:r>
        <w:rPr>
          <w:rFonts w:hint="eastAsia" w:ascii="黑体" w:hAnsi="黑体" w:eastAsia="黑体" w:cs="Times New Roman"/>
          <w:spacing w:val="20"/>
          <w:sz w:val="84"/>
          <w:szCs w:val="84"/>
        </w:rPr>
        <w:t>表</w:t>
      </w:r>
    </w:p>
    <w:p>
      <w:pPr>
        <w:snapToGrid w:val="0"/>
        <w:jc w:val="center"/>
        <w:rPr>
          <w:rFonts w:hint="eastAsia" w:ascii="楷体" w:hAnsi="楷体" w:eastAsia="楷体" w:cs="楷体"/>
          <w:spacing w:val="0"/>
          <w:kern w:val="2"/>
          <w:sz w:val="36"/>
          <w:szCs w:val="36"/>
          <w:lang w:val="en-US" w:eastAsia="zh-CN" w:bidi="ar-SA"/>
        </w:rPr>
      </w:pPr>
      <w:r>
        <w:rPr>
          <w:rFonts w:hint="eastAsia" w:ascii="楷体" w:hAnsi="楷体" w:eastAsia="楷体" w:cs="楷体"/>
          <w:spacing w:val="0"/>
          <w:kern w:val="2"/>
          <w:sz w:val="36"/>
          <w:szCs w:val="36"/>
          <w:lang w:val="en-US" w:eastAsia="zh-CN" w:bidi="ar-SA"/>
        </w:rPr>
        <w:t>（报批稿）</w:t>
      </w:r>
    </w:p>
    <w:p>
      <w:pPr>
        <w:jc w:val="center"/>
        <w:rPr>
          <w:rFonts w:eastAsia="方正魏碑简体"/>
          <w:sz w:val="36"/>
          <w:szCs w:val="36"/>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ind w:firstLine="456" w:firstLineChars="152"/>
        <w:rPr>
          <w:rFonts w:hint="eastAsia" w:cs="Times New Roman" w:asciiTheme="minorEastAsia" w:hAnsiTheme="minorEastAsia" w:eastAsiaTheme="minorEastAsia"/>
          <w:bCs/>
          <w:spacing w:val="-10"/>
          <w:sz w:val="32"/>
          <w:szCs w:val="32"/>
          <w:lang w:eastAsia="zh-CN"/>
        </w:rPr>
      </w:pPr>
      <w:r>
        <w:rPr>
          <w:rFonts w:cs="Times New Roman" w:asciiTheme="minorEastAsia" w:hAnsiTheme="minorEastAsia"/>
          <w:bCs/>
          <w:spacing w:val="-10"/>
          <w:sz w:val="32"/>
          <w:szCs w:val="32"/>
        </w:rPr>
        <w:t>项目建设单位：</w:t>
      </w:r>
      <w:r>
        <w:rPr>
          <w:rFonts w:hint="eastAsia" w:cs="Times New Roman" w:asciiTheme="minorEastAsia" w:hAnsiTheme="minorEastAsia"/>
          <w:bCs/>
          <w:spacing w:val="-10"/>
          <w:sz w:val="32"/>
          <w:szCs w:val="32"/>
          <w:lang w:eastAsia="zh-CN"/>
        </w:rPr>
        <w:t>曲沃县宏都矿业有限公司</w:t>
      </w:r>
    </w:p>
    <w:p>
      <w:pPr>
        <w:ind w:firstLine="462" w:firstLineChars="152"/>
        <w:rPr>
          <w:rFonts w:hint="eastAsia" w:cs="Times New Roman" w:asciiTheme="minorEastAsia" w:hAnsiTheme="minorEastAsia" w:eastAsiaTheme="minorEastAsia"/>
          <w:bCs/>
          <w:spacing w:val="-8"/>
          <w:sz w:val="32"/>
          <w:szCs w:val="32"/>
          <w:lang w:eastAsia="zh-CN"/>
        </w:rPr>
      </w:pPr>
      <w:r>
        <w:rPr>
          <w:rFonts w:cs="Times New Roman" w:asciiTheme="minorEastAsia" w:hAnsiTheme="minorEastAsia"/>
          <w:bCs/>
          <w:spacing w:val="-8"/>
          <w:sz w:val="32"/>
          <w:szCs w:val="32"/>
        </w:rPr>
        <w:t>方案编制单位：</w:t>
      </w:r>
      <w:r>
        <w:rPr>
          <w:rFonts w:hint="eastAsia" w:cs="Times New Roman" w:asciiTheme="minorEastAsia" w:hAnsiTheme="minorEastAsia"/>
          <w:bCs/>
          <w:spacing w:val="-10"/>
          <w:sz w:val="32"/>
          <w:szCs w:val="32"/>
          <w:lang w:eastAsia="zh-CN"/>
        </w:rPr>
        <w:t>曲沃县宏都矿业有限公司</w:t>
      </w:r>
    </w:p>
    <w:p>
      <w:pPr>
        <w:adjustRightInd w:val="0"/>
        <w:snapToGrid w:val="0"/>
        <w:jc w:val="center"/>
        <w:rPr>
          <w:rFonts w:cs="Times New Roman" w:asciiTheme="minorEastAsia" w:hAnsiTheme="minorEastAsia"/>
          <w:sz w:val="32"/>
          <w:szCs w:val="32"/>
        </w:rPr>
      </w:pPr>
      <w:r>
        <w:rPr>
          <w:rFonts w:cs="Times New Roman" w:asciiTheme="minorEastAsia" w:hAnsiTheme="minorEastAsia"/>
          <w:sz w:val="32"/>
          <w:szCs w:val="32"/>
        </w:rPr>
        <w:t>二〇二</w:t>
      </w:r>
      <w:r>
        <w:rPr>
          <w:rFonts w:hint="eastAsia" w:cs="Times New Roman" w:asciiTheme="minorEastAsia" w:hAnsiTheme="minorEastAsia"/>
          <w:sz w:val="32"/>
          <w:szCs w:val="32"/>
          <w:lang w:eastAsia="zh-CN"/>
        </w:rPr>
        <w:t>一</w:t>
      </w:r>
      <w:r>
        <w:rPr>
          <w:rFonts w:cs="Times New Roman" w:asciiTheme="minorEastAsia" w:hAnsiTheme="minorEastAsia"/>
          <w:sz w:val="32"/>
          <w:szCs w:val="32"/>
        </w:rPr>
        <w:t>年</w:t>
      </w:r>
      <w:r>
        <w:rPr>
          <w:rFonts w:hint="eastAsia" w:cs="Times New Roman" w:asciiTheme="minorEastAsia" w:hAnsiTheme="minorEastAsia"/>
          <w:sz w:val="32"/>
          <w:szCs w:val="32"/>
          <w:lang w:eastAsia="zh-CN"/>
        </w:rPr>
        <w:t>九</w:t>
      </w:r>
      <w:r>
        <w:rPr>
          <w:rFonts w:cs="Times New Roman" w:asciiTheme="minorEastAsia" w:hAnsiTheme="minorEastAsia"/>
          <w:sz w:val="32"/>
          <w:szCs w:val="32"/>
        </w:rPr>
        <w:t>月</w:t>
      </w:r>
    </w:p>
    <w:p>
      <w:pPr>
        <w:pStyle w:val="39"/>
        <w:sectPr>
          <w:footerReference r:id="rId3" w:type="default"/>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39"/>
        <w:spacing w:line="240" w:lineRule="auto"/>
        <w:ind w:firstLine="1054" w:firstLineChars="350"/>
      </w:pPr>
    </w:p>
    <w:p>
      <w:pPr>
        <w:pStyle w:val="39"/>
        <w:jc w:val="center"/>
        <w:rPr>
          <w:rFonts w:hint="eastAsia" w:cs="Times New Roman" w:asciiTheme="minorEastAsia" w:hAnsiTheme="minorEastAsia" w:eastAsiaTheme="minorEastAsia"/>
          <w:b/>
          <w:bCs/>
          <w:kern w:val="0"/>
          <w:sz w:val="44"/>
          <w:szCs w:val="44"/>
          <w:lang w:val="en-US" w:eastAsia="zh-CN" w:bidi="ar-SA"/>
        </w:rPr>
      </w:pPr>
      <w:r>
        <w:rPr>
          <w:rFonts w:hint="eastAsia" w:cs="Times New Roman" w:asciiTheme="minorEastAsia" w:hAnsiTheme="minorEastAsia" w:eastAsiaTheme="minorEastAsia"/>
          <w:b/>
          <w:bCs/>
          <w:kern w:val="0"/>
          <w:sz w:val="44"/>
          <w:szCs w:val="44"/>
          <w:lang w:val="en-US" w:eastAsia="zh-CN" w:bidi="ar-SA"/>
        </w:rPr>
        <w:t>曲沃县宏都矿业有限公司年加工20万吨铁精粉建设项目</w:t>
      </w:r>
    </w:p>
    <w:p>
      <w:pPr>
        <w:pStyle w:val="39"/>
        <w:jc w:val="center"/>
        <w:rPr>
          <w:rFonts w:hint="eastAsia" w:cs="Times New Roman" w:asciiTheme="minorEastAsia" w:hAnsiTheme="minorEastAsia" w:eastAsiaTheme="minorEastAsia"/>
          <w:b w:val="0"/>
          <w:kern w:val="0"/>
          <w:sz w:val="28"/>
          <w:szCs w:val="28"/>
          <w:lang w:val="en-US" w:eastAsia="zh-CN" w:bidi="ar-SA"/>
        </w:rPr>
      </w:pPr>
      <w:r>
        <w:rPr>
          <w:rFonts w:hint="eastAsia" w:cs="Times New Roman" w:asciiTheme="minorEastAsia" w:hAnsiTheme="minorEastAsia" w:eastAsiaTheme="minorEastAsia"/>
          <w:b w:val="0"/>
          <w:kern w:val="0"/>
          <w:sz w:val="28"/>
          <w:szCs w:val="28"/>
          <w:lang w:val="en-US" w:eastAsia="zh-CN" w:bidi="ar-SA"/>
        </w:rPr>
        <w:t>责任页</w:t>
      </w:r>
    </w:p>
    <w:p>
      <w:pPr>
        <w:pStyle w:val="39"/>
        <w:jc w:val="center"/>
        <w:rPr>
          <w:rFonts w:hint="eastAsia" w:eastAsia="方正小标宋简体"/>
          <w:b w:val="0"/>
          <w:bCs w:val="0"/>
          <w:spacing w:val="-8"/>
          <w:szCs w:val="30"/>
          <w:lang w:eastAsia="zh-CN"/>
        </w:rPr>
      </w:pPr>
      <w:r>
        <w:rPr>
          <w:rFonts w:hint="eastAsia" w:eastAsia="方正小标宋简体"/>
          <w:b w:val="0"/>
          <w:bCs w:val="0"/>
          <w:spacing w:val="-8"/>
          <w:szCs w:val="30"/>
          <w:lang w:eastAsia="zh-CN"/>
        </w:rPr>
        <w:t>曲沃县宏都矿业有限公司</w:t>
      </w:r>
    </w:p>
    <w:p>
      <w:pPr>
        <w:pStyle w:val="39"/>
        <w:jc w:val="center"/>
        <w:rPr>
          <w:rFonts w:hint="eastAsia" w:eastAsia="方正小标宋简体"/>
          <w:b w:val="0"/>
          <w:bCs w:val="0"/>
          <w:spacing w:val="-8"/>
          <w:szCs w:val="30"/>
        </w:rPr>
      </w:pPr>
    </w:p>
    <w:bookmarkEnd w:id="0"/>
    <w:p>
      <w:pPr>
        <w:pStyle w:val="39"/>
        <w:jc w:val="center"/>
        <w:rPr>
          <w:rFonts w:hint="eastAsia" w:eastAsia="方正小标宋简体"/>
          <w:b w:val="0"/>
          <w:bCs w:val="0"/>
          <w:spacing w:val="-8"/>
          <w:szCs w:val="30"/>
        </w:rPr>
      </w:pPr>
      <w:bookmarkStart w:id="1" w:name="_Toc501443567"/>
      <w:bookmarkStart w:id="2" w:name="_Toc510511009"/>
      <w:bookmarkStart w:id="3" w:name="_Toc485124292"/>
      <w:bookmarkStart w:id="4" w:name="_Toc1117816"/>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审      查：</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（总经理）</w:t>
      </w: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校      核：</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rPr>
        <w:t>项目负责人：</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hint="eastAsia" w:asciiTheme="minorEastAsia" w:hAnsiTheme="minorEastAsia" w:eastAsiaTheme="minorEastAsia"/>
          <w:b w:val="0"/>
          <w:bCs/>
          <w:spacing w:val="-8"/>
          <w:sz w:val="28"/>
          <w:szCs w:val="30"/>
          <w:lang w:eastAsia="zh-CN"/>
        </w:rPr>
      </w:pPr>
      <w:r>
        <w:rPr>
          <w:rFonts w:hint="eastAsia" w:asciiTheme="minorEastAsia" w:hAnsiTheme="minorEastAsia" w:eastAsiaTheme="minorEastAsia"/>
          <w:b w:val="0"/>
          <w:bCs/>
          <w:spacing w:val="-8"/>
          <w:sz w:val="28"/>
          <w:szCs w:val="30"/>
          <w:lang w:val="en-US" w:eastAsia="zh-CN"/>
        </w:rPr>
        <w:drawing>
          <wp:anchor distT="0" distB="0" distL="114300" distR="114300" simplePos="0" relativeHeight="251683840" behindDoc="0" locked="0" layoutInCell="1" allowOverlap="1">
            <wp:simplePos x="0" y="0"/>
            <wp:positionH relativeFrom="column">
              <wp:posOffset>1541145</wp:posOffset>
            </wp:positionH>
            <wp:positionV relativeFrom="paragraph">
              <wp:posOffset>142875</wp:posOffset>
            </wp:positionV>
            <wp:extent cx="553085" cy="474345"/>
            <wp:effectExtent l="0" t="0" r="18415" b="1905"/>
            <wp:wrapNone/>
            <wp:docPr id="8" name="图片 8" descr="杨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杨凡"/>
                    <pic:cNvPicPr>
                      <a:picLocks noChangeAspect="1"/>
                    </pic:cNvPicPr>
                  </pic:nvPicPr>
                  <pic:blipFill>
                    <a:blip r:embed="rId8"/>
                    <a:stretch>
                      <a:fillRect/>
                    </a:stretch>
                  </pic:blipFill>
                  <pic:spPr>
                    <a:xfrm>
                      <a:off x="0" y="0"/>
                      <a:ext cx="553085" cy="474345"/>
                    </a:xfrm>
                    <a:prstGeom prst="rect">
                      <a:avLst/>
                    </a:prstGeom>
                  </pic:spPr>
                </pic:pic>
              </a:graphicData>
            </a:graphic>
          </wp:anchor>
        </w:drawing>
      </w:r>
    </w:p>
    <w:p>
      <w:pPr>
        <w:pStyle w:val="39"/>
        <w:keepNext w:val="0"/>
        <w:keepLines w:val="0"/>
        <w:pageBreakBefore w:val="0"/>
        <w:widowControl w:val="0"/>
        <w:kinsoku/>
        <w:wordWrap/>
        <w:overflowPunct/>
        <w:topLinePunct w:val="0"/>
        <w:autoSpaceDE/>
        <w:autoSpaceDN/>
        <w:bidi w:val="0"/>
        <w:adjustRightInd w:val="0"/>
        <w:snapToGrid w:val="0"/>
        <w:spacing w:line="360" w:lineRule="auto"/>
        <w:ind w:firstLine="924" w:firstLineChars="350"/>
        <w:textAlignment w:val="auto"/>
        <w:rPr>
          <w:rFonts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t>编      写：</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（工程师）</w:t>
      </w:r>
      <w:r>
        <w:rPr>
          <w:rFonts w:hint="eastAsia" w:asciiTheme="minorEastAsia" w:hAnsiTheme="minorEastAsia" w:eastAsiaTheme="minorEastAsia"/>
          <w:b w:val="0"/>
          <w:bCs/>
          <w:spacing w:val="-8"/>
          <w:sz w:val="28"/>
          <w:szCs w:val="30"/>
        </w:rPr>
        <w:t xml:space="preserve">  （报告表全部内容）</w:t>
      </w:r>
    </w:p>
    <w:p>
      <w:pPr>
        <w:pStyle w:val="39"/>
        <w:keepNext w:val="0"/>
        <w:keepLines w:val="0"/>
        <w:pageBreakBefore w:val="0"/>
        <w:widowControl w:val="0"/>
        <w:kinsoku/>
        <w:wordWrap/>
        <w:overflowPunct/>
        <w:topLinePunct w:val="0"/>
        <w:autoSpaceDE/>
        <w:autoSpaceDN/>
        <w:bidi w:val="0"/>
        <w:adjustRightInd w:val="0"/>
        <w:snapToGrid w:val="0"/>
        <w:spacing w:line="360" w:lineRule="auto"/>
        <w:textAlignment w:val="auto"/>
        <w:sectPr>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48"/>
        <w:keepNext w:val="0"/>
        <w:keepLines w:val="0"/>
        <w:pageBreakBefore w:val="0"/>
        <w:widowControl w:val="0"/>
        <w:kinsoku/>
        <w:wordWrap/>
        <w:overflowPunct/>
        <w:topLinePunct w:val="0"/>
        <w:autoSpaceDE/>
        <w:autoSpaceDN/>
        <w:bidi w:val="0"/>
        <w:adjustRightInd/>
        <w:snapToGrid/>
        <w:jc w:val="center"/>
        <w:textAlignment w:val="auto"/>
        <w:rPr>
          <w:spacing w:val="-20"/>
          <w:sz w:val="28"/>
        </w:rPr>
      </w:pPr>
      <w:r>
        <w:rPr>
          <w:rFonts w:hint="eastAsia" w:cs="宋体" w:asciiTheme="minorEastAsia" w:hAnsiTheme="minorEastAsia"/>
          <w:spacing w:val="-20"/>
          <w:kern w:val="0"/>
          <w:sz w:val="28"/>
          <w:szCs w:val="24"/>
          <w:u w:val="single"/>
          <w:lang w:eastAsia="zh-CN"/>
        </w:rPr>
        <w:t>曲沃县宏都矿业有限公司年加工20万吨铁精粉建设项目</w:t>
      </w:r>
      <w:r>
        <w:rPr>
          <w:spacing w:val="-20"/>
          <w:sz w:val="28"/>
        </w:rPr>
        <w:t>水土保持方案</w:t>
      </w:r>
      <w:r>
        <w:rPr>
          <w:rFonts w:hint="eastAsia"/>
          <w:spacing w:val="-20"/>
          <w:sz w:val="28"/>
        </w:rPr>
        <w:t>报告</w:t>
      </w:r>
      <w:r>
        <w:rPr>
          <w:spacing w:val="-20"/>
          <w:sz w:val="28"/>
        </w:rPr>
        <w:t>表</w:t>
      </w:r>
    </w:p>
    <w:tbl>
      <w:tblPr>
        <w:tblStyle w:val="24"/>
        <w:tblW w:w="9220" w:type="dxa"/>
        <w:tblInd w:w="103" w:type="dxa"/>
        <w:tblLayout w:type="fixed"/>
        <w:tblCellMar>
          <w:top w:w="0" w:type="dxa"/>
          <w:left w:w="108" w:type="dxa"/>
          <w:bottom w:w="0" w:type="dxa"/>
          <w:right w:w="108" w:type="dxa"/>
        </w:tblCellMar>
      </w:tblPr>
      <w:tblGrid>
        <w:gridCol w:w="892"/>
        <w:gridCol w:w="1422"/>
        <w:gridCol w:w="899"/>
        <w:gridCol w:w="1929"/>
        <w:gridCol w:w="1921"/>
        <w:gridCol w:w="2157"/>
      </w:tblGrid>
      <w:tr>
        <w:tblPrEx>
          <w:tblCellMar>
            <w:top w:w="0" w:type="dxa"/>
            <w:left w:w="108" w:type="dxa"/>
            <w:bottom w:w="0" w:type="dxa"/>
            <w:right w:w="108" w:type="dxa"/>
          </w:tblCellMar>
        </w:tblPrEx>
        <w:trPr>
          <w:trHeight w:val="677" w:hRule="atLeast"/>
        </w:trPr>
        <w:tc>
          <w:tcPr>
            <w:tcW w:w="8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项目概况</w:t>
            </w:r>
          </w:p>
        </w:tc>
        <w:tc>
          <w:tcPr>
            <w:tcW w:w="1422"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位置</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曲沃县宏都矿业有限公司年加工20万吨铁精粉建设项目地址位于山西省临汾市曲沃县乐昌镇西宁村西南220米，行政区划隶属乐昌镇管辖。其场地中心地理坐标为北纬35°39′40.50″，东经111°29′52.09″。</w:t>
            </w:r>
          </w:p>
        </w:tc>
      </w:tr>
      <w:tr>
        <w:tblPrEx>
          <w:tblCellMar>
            <w:top w:w="0" w:type="dxa"/>
            <w:left w:w="108" w:type="dxa"/>
            <w:bottom w:w="0" w:type="dxa"/>
            <w:right w:w="108" w:type="dxa"/>
          </w:tblCellMar>
        </w:tblPrEx>
        <w:trPr>
          <w:trHeight w:val="9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建设内容</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rPr>
              <w:t>选矿车间、原料库、产品库、浓缩机、循环水池、等生产生活设施</w:t>
            </w:r>
          </w:p>
        </w:tc>
      </w:tr>
      <w:tr>
        <w:tblPrEx>
          <w:tblCellMar>
            <w:top w:w="0" w:type="dxa"/>
            <w:left w:w="108" w:type="dxa"/>
            <w:bottom w:w="0" w:type="dxa"/>
            <w:right w:w="108" w:type="dxa"/>
          </w:tblCellMar>
        </w:tblPrEx>
        <w:trPr>
          <w:trHeight w:val="25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建设性质</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新建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总投资（万元）</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600</w:t>
            </w:r>
          </w:p>
        </w:tc>
      </w:tr>
      <w:tr>
        <w:tblPrEx>
          <w:tblCellMar>
            <w:top w:w="0" w:type="dxa"/>
            <w:left w:w="108" w:type="dxa"/>
            <w:bottom w:w="0" w:type="dxa"/>
            <w:right w:w="108" w:type="dxa"/>
          </w:tblCellMar>
        </w:tblPrEx>
        <w:trPr>
          <w:trHeight w:val="291"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土建投资</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（万元）</w:t>
            </w:r>
          </w:p>
        </w:tc>
        <w:tc>
          <w:tcPr>
            <w:tcW w:w="2828"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220</w:t>
            </w:r>
          </w:p>
        </w:tc>
        <w:tc>
          <w:tcPr>
            <w:tcW w:w="192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占地面积（hm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永久：</w:t>
            </w:r>
            <w:r>
              <w:rPr>
                <w:rFonts w:hint="eastAsia" w:ascii="仿宋" w:hAnsi="仿宋" w:eastAsia="仿宋" w:cs="仿宋"/>
                <w:kern w:val="0"/>
                <w:sz w:val="21"/>
                <w:szCs w:val="21"/>
                <w:lang w:val="en-US" w:eastAsia="zh-CN"/>
              </w:rPr>
              <w:t>1.72hm</w:t>
            </w:r>
            <w:r>
              <w:rPr>
                <w:rFonts w:hint="eastAsia" w:ascii="仿宋" w:hAnsi="仿宋" w:eastAsia="仿宋" w:cs="仿宋"/>
                <w:kern w:val="0"/>
                <w:sz w:val="21"/>
                <w:szCs w:val="21"/>
                <w:vertAlign w:val="superscript"/>
                <w:lang w:val="en-US" w:eastAsia="zh-CN"/>
              </w:rPr>
              <w:t>2</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28"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临时：</w:t>
            </w:r>
            <w:r>
              <w:rPr>
                <w:rFonts w:hint="eastAsia" w:ascii="仿宋" w:hAnsi="仿宋" w:eastAsia="仿宋" w:cs="仿宋"/>
                <w:kern w:val="0"/>
                <w:sz w:val="21"/>
                <w:szCs w:val="21"/>
                <w:lang w:val="en-US" w:eastAsia="zh-CN"/>
              </w:rPr>
              <w:t>0hm</w:t>
            </w:r>
            <w:r>
              <w:rPr>
                <w:rFonts w:hint="eastAsia" w:ascii="仿宋" w:hAnsi="仿宋" w:eastAsia="仿宋" w:cs="仿宋"/>
                <w:kern w:val="0"/>
                <w:sz w:val="21"/>
                <w:szCs w:val="21"/>
                <w:vertAlign w:val="superscript"/>
                <w:lang w:val="en-US" w:eastAsia="zh-CN"/>
              </w:rPr>
              <w:t>2</w:t>
            </w:r>
          </w:p>
        </w:tc>
      </w:tr>
      <w:tr>
        <w:tblPrEx>
          <w:tblCellMar>
            <w:top w:w="0" w:type="dxa"/>
            <w:left w:w="108" w:type="dxa"/>
            <w:bottom w:w="0" w:type="dxa"/>
            <w:right w:w="108" w:type="dxa"/>
          </w:tblCellMar>
        </w:tblPrEx>
        <w:trPr>
          <w:trHeight w:val="19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动工时间</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18</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10</w:t>
            </w:r>
            <w:r>
              <w:rPr>
                <w:rFonts w:hint="eastAsia" w:ascii="仿宋" w:hAnsi="仿宋" w:eastAsia="仿宋" w:cs="仿宋"/>
                <w:kern w:val="0"/>
                <w:sz w:val="21"/>
                <w:szCs w:val="21"/>
              </w:rPr>
              <w:t>月</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完工时间</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19</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6</w:t>
            </w:r>
            <w:r>
              <w:rPr>
                <w:rFonts w:hint="eastAsia" w:ascii="仿宋" w:hAnsi="仿宋" w:eastAsia="仿宋" w:cs="仿宋"/>
                <w:kern w:val="0"/>
                <w:sz w:val="21"/>
                <w:szCs w:val="21"/>
              </w:rPr>
              <w:t>月</w:t>
            </w:r>
          </w:p>
        </w:tc>
      </w:tr>
      <w:tr>
        <w:tblPrEx>
          <w:tblCellMar>
            <w:top w:w="0" w:type="dxa"/>
            <w:left w:w="108" w:type="dxa"/>
            <w:bottom w:w="0" w:type="dxa"/>
            <w:right w:w="108" w:type="dxa"/>
          </w:tblCellMar>
        </w:tblPrEx>
        <w:trPr>
          <w:trHeight w:val="236"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土石方</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（万m</w:t>
            </w:r>
            <w:r>
              <w:rPr>
                <w:rFonts w:hint="eastAsia" w:ascii="仿宋" w:hAnsi="仿宋" w:eastAsia="仿宋" w:cs="仿宋"/>
                <w:kern w:val="0"/>
                <w:sz w:val="21"/>
                <w:szCs w:val="21"/>
                <w:vertAlign w:val="superscript"/>
              </w:rPr>
              <w:t>3</w:t>
            </w:r>
            <w:r>
              <w:rPr>
                <w:rFonts w:hint="eastAsia" w:ascii="仿宋" w:hAnsi="仿宋" w:eastAsia="仿宋" w:cs="仿宋"/>
                <w:kern w:val="0"/>
                <w:sz w:val="21"/>
                <w:szCs w:val="21"/>
              </w:rPr>
              <w:t>）</w:t>
            </w: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挖方</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填方</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借方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余（弃）方</w:t>
            </w:r>
          </w:p>
        </w:tc>
      </w:tr>
      <w:tr>
        <w:tblPrEx>
          <w:tblCellMar>
            <w:top w:w="0" w:type="dxa"/>
            <w:left w:w="108" w:type="dxa"/>
            <w:bottom w:w="0" w:type="dxa"/>
            <w:right w:w="108" w:type="dxa"/>
          </w:tblCellMar>
        </w:tblPrEx>
        <w:trPr>
          <w:trHeight w:val="222"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89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0.6</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0.6</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r>
      <w:tr>
        <w:tblPrEx>
          <w:tblCellMar>
            <w:top w:w="0" w:type="dxa"/>
            <w:left w:w="108" w:type="dxa"/>
            <w:bottom w:w="0" w:type="dxa"/>
            <w:right w:w="108" w:type="dxa"/>
          </w:tblCellMar>
        </w:tblPrEx>
        <w:trPr>
          <w:trHeight w:val="140"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取土场</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209" w:hRule="atLeast"/>
        </w:trPr>
        <w:tc>
          <w:tcPr>
            <w:tcW w:w="89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2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弃土场</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553"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项目区概况</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涉及重点防治区情况</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山西省</w:t>
            </w:r>
            <w:r>
              <w:rPr>
                <w:rFonts w:hint="eastAsia" w:ascii="仿宋" w:hAnsi="仿宋" w:eastAsia="仿宋" w:cs="仿宋"/>
                <w:kern w:val="0"/>
                <w:sz w:val="21"/>
                <w:szCs w:val="21"/>
              </w:rPr>
              <w:t>水土流失预防保护区</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地貌类型</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eastAsia="仿宋_GB2312"/>
                <w:szCs w:val="21"/>
                <w:lang w:eastAsia="zh-CN"/>
              </w:rPr>
              <w:t>黄土高原区</w:t>
            </w:r>
          </w:p>
        </w:tc>
      </w:tr>
      <w:tr>
        <w:tblPrEx>
          <w:tblCellMar>
            <w:top w:w="0" w:type="dxa"/>
            <w:left w:w="108" w:type="dxa"/>
            <w:bottom w:w="0" w:type="dxa"/>
            <w:right w:w="108" w:type="dxa"/>
          </w:tblCellMar>
        </w:tblPrEx>
        <w:trPr>
          <w:trHeight w:val="416"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原地貌土壤侵蚀模数[t/(km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1500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容许土壤流失量[t/(km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1000</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项目选址（线）水土保持评价</w:t>
            </w:r>
          </w:p>
        </w:tc>
        <w:tc>
          <w:tcPr>
            <w:tcW w:w="6906" w:type="dxa"/>
            <w:gridSpan w:val="4"/>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工</w:t>
            </w:r>
            <w:r>
              <w:rPr>
                <w:rFonts w:hint="eastAsia" w:ascii="仿宋" w:hAnsi="仿宋" w:eastAsia="仿宋" w:cs="仿宋"/>
                <w:kern w:val="0"/>
                <w:sz w:val="21"/>
                <w:szCs w:val="21"/>
              </w:rPr>
              <w:t>程选址不属于河流两岸、湖泊和水库周边的植物保护带；不处于全国水土保持监测网络中的水土保持监测站点，重点试验区及国家确定的水土保持长期定位观测站；处于山西省省级水土流失重点预防保护区，可通过提高防治标准指标值，并加强水土保持措施，减轻工程建设水土流失影响。因此，从水土保持角度分析工程选址合理。</w:t>
            </w:r>
          </w:p>
        </w:tc>
      </w:tr>
      <w:tr>
        <w:tblPrEx>
          <w:tblCellMar>
            <w:top w:w="0" w:type="dxa"/>
            <w:left w:w="108" w:type="dxa"/>
            <w:bottom w:w="0" w:type="dxa"/>
            <w:right w:w="108" w:type="dxa"/>
          </w:tblCellMar>
        </w:tblPrEx>
        <w:trPr>
          <w:trHeight w:val="161"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预测水土流失总量(t)</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27.08</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防治责任范围（hm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6906"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1.72</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rPr>
              <w:t>防治标准等级及</w:t>
            </w:r>
            <w:r>
              <w:rPr>
                <w:rFonts w:hint="eastAsia" w:ascii="仿宋" w:hAnsi="仿宋" w:eastAsia="仿宋" w:cs="仿宋"/>
                <w:kern w:val="0"/>
                <w:sz w:val="21"/>
                <w:szCs w:val="21"/>
                <w:lang w:eastAsia="zh-CN"/>
              </w:rPr>
              <w:t>指标</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防治标准等级</w:t>
            </w:r>
          </w:p>
        </w:tc>
        <w:tc>
          <w:tcPr>
            <w:tcW w:w="600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西北黄土高原区水土流失防治一级标准</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水土流失治理度（%）</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93</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土壤流失控制比</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w:t>
            </w:r>
          </w:p>
        </w:tc>
      </w:tr>
      <w:tr>
        <w:tblPrEx>
          <w:tblCellMar>
            <w:top w:w="0" w:type="dxa"/>
            <w:left w:w="108" w:type="dxa"/>
            <w:bottom w:w="0" w:type="dxa"/>
            <w:right w:w="108" w:type="dxa"/>
          </w:tblCellMar>
        </w:tblPrEx>
        <w:trPr>
          <w:trHeight w:val="181"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渣土拦护率（%）</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92</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表土保护率（%）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90</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林草植被恢复率（%）</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95</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林草覆盖率（%）</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8</w:t>
            </w:r>
          </w:p>
        </w:tc>
      </w:tr>
      <w:tr>
        <w:tblPrEx>
          <w:tblCellMar>
            <w:top w:w="0" w:type="dxa"/>
            <w:left w:w="108" w:type="dxa"/>
            <w:bottom w:w="0" w:type="dxa"/>
            <w:right w:w="108" w:type="dxa"/>
          </w:tblCellMar>
        </w:tblPrEx>
        <w:trPr>
          <w:trHeight w:val="109" w:hRule="atLeast"/>
        </w:trPr>
        <w:tc>
          <w:tcPr>
            <w:tcW w:w="892"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水土保持措施</w:t>
            </w:r>
          </w:p>
        </w:tc>
        <w:tc>
          <w:tcPr>
            <w:tcW w:w="8328" w:type="dxa"/>
            <w:gridSpan w:val="5"/>
            <w:tcBorders>
              <w:top w:val="single" w:color="auto" w:sz="4" w:space="0"/>
              <w:left w:val="nil"/>
              <w:bottom w:val="single" w:color="auto" w:sz="4" w:space="0"/>
              <w:right w:val="single" w:color="000000" w:sz="4" w:space="0"/>
            </w:tcBorders>
            <w:shd w:val="clear" w:color="auto" w:fill="auto"/>
            <w:vAlign w:val="center"/>
          </w:tcPr>
          <w:p>
            <w:pPr>
              <w:pStyle w:val="43"/>
              <w:keepNext w:val="0"/>
              <w:keepLines w:val="0"/>
              <w:pageBreakBefore w:val="0"/>
              <w:kinsoku/>
              <w:wordWrap/>
              <w:overflowPunct/>
              <w:topLinePunct w:val="0"/>
              <w:autoSpaceDE/>
              <w:autoSpaceDN/>
              <w:bidi w:val="0"/>
              <w:snapToGrid w:val="0"/>
              <w:spacing w:line="240" w:lineRule="auto"/>
              <w:ind w:firstLine="480"/>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工业场地：在场内布置雨水收集池一座尺寸长15米，宽4米，深3米，布置有绿化措施0.01hm</w:t>
            </w:r>
            <w:r>
              <w:rPr>
                <w:rFonts w:hint="eastAsia" w:ascii="仿宋" w:hAnsi="仿宋" w:eastAsia="仿宋" w:cs="仿宋"/>
                <w:kern w:val="0"/>
                <w:sz w:val="21"/>
                <w:szCs w:val="21"/>
                <w:vertAlign w:val="superscript"/>
                <w:lang w:val="en-US" w:eastAsia="zh-CN"/>
              </w:rPr>
              <w:t>2</w:t>
            </w:r>
            <w:r>
              <w:rPr>
                <w:rFonts w:hint="eastAsia" w:ascii="仿宋" w:hAnsi="仿宋" w:eastAsia="仿宋" w:cs="仿宋"/>
                <w:kern w:val="0"/>
                <w:sz w:val="21"/>
                <w:szCs w:val="21"/>
                <w:lang w:val="en-US" w:eastAsia="zh-CN"/>
              </w:rPr>
              <w:t>，方案新增场内西侧空地0.12hm</w:t>
            </w:r>
            <w:r>
              <w:rPr>
                <w:rFonts w:hint="eastAsia" w:ascii="仿宋" w:hAnsi="仿宋" w:eastAsia="仿宋" w:cs="仿宋"/>
                <w:kern w:val="0"/>
                <w:sz w:val="21"/>
                <w:szCs w:val="21"/>
                <w:vertAlign w:val="superscript"/>
                <w:lang w:val="en-US" w:eastAsia="zh-CN"/>
              </w:rPr>
              <w:t>2</w:t>
            </w:r>
            <w:r>
              <w:rPr>
                <w:rFonts w:hint="eastAsia" w:ascii="仿宋" w:hAnsi="仿宋" w:eastAsia="仿宋" w:cs="仿宋"/>
                <w:kern w:val="0"/>
                <w:sz w:val="21"/>
                <w:szCs w:val="21"/>
                <w:lang w:val="en-US" w:eastAsia="zh-CN"/>
              </w:rPr>
              <w:t>（为裸露地面）的绿化措施。办公生活区：在场内布置绿化面积0.01hm</w:t>
            </w:r>
            <w:r>
              <w:rPr>
                <w:rFonts w:hint="eastAsia" w:ascii="仿宋" w:hAnsi="仿宋" w:eastAsia="仿宋" w:cs="仿宋"/>
                <w:kern w:val="0"/>
                <w:sz w:val="21"/>
                <w:szCs w:val="21"/>
                <w:vertAlign w:val="superscript"/>
                <w:lang w:val="en-US" w:eastAsia="zh-CN"/>
              </w:rPr>
              <w:t>2</w:t>
            </w:r>
            <w:r>
              <w:rPr>
                <w:rFonts w:hint="eastAsia"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90" w:hRule="atLeast"/>
        </w:trPr>
        <w:tc>
          <w:tcPr>
            <w:tcW w:w="89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水土保持投资估算（万元）</w:t>
            </w: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工程措施</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4.2</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植物措施</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0.68</w:t>
            </w:r>
          </w:p>
        </w:tc>
      </w:tr>
      <w:tr>
        <w:tblPrEx>
          <w:tblCellMar>
            <w:top w:w="0" w:type="dxa"/>
            <w:left w:w="108" w:type="dxa"/>
            <w:bottom w:w="0" w:type="dxa"/>
            <w:right w:w="108" w:type="dxa"/>
          </w:tblCellMar>
        </w:tblPrEx>
        <w:trPr>
          <w:trHeight w:val="154"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临时措施</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水土保持补偿费</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0.688</w:t>
            </w:r>
          </w:p>
        </w:tc>
      </w:tr>
      <w:tr>
        <w:tblPrEx>
          <w:tblCellMar>
            <w:top w:w="0" w:type="dxa"/>
            <w:left w:w="108" w:type="dxa"/>
            <w:bottom w:w="0" w:type="dxa"/>
            <w:right w:w="108" w:type="dxa"/>
          </w:tblCellMar>
        </w:tblPrEx>
        <w:trPr>
          <w:trHeight w:val="10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独立费用</w:t>
            </w: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建设管理费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0.1</w:t>
            </w:r>
          </w:p>
        </w:tc>
      </w:tr>
      <w:tr>
        <w:tblPrEx>
          <w:tblCellMar>
            <w:top w:w="0" w:type="dxa"/>
            <w:left w:w="108" w:type="dxa"/>
            <w:bottom w:w="0" w:type="dxa"/>
            <w:right w:w="108" w:type="dxa"/>
          </w:tblCellMar>
        </w:tblPrEx>
        <w:trPr>
          <w:trHeight w:val="127"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水土保持监理费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9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92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设计费</w:t>
            </w:r>
          </w:p>
        </w:tc>
        <w:tc>
          <w:tcPr>
            <w:tcW w:w="407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w:t>
            </w:r>
          </w:p>
        </w:tc>
      </w:tr>
      <w:tr>
        <w:tblPrEx>
          <w:tblCellMar>
            <w:top w:w="0" w:type="dxa"/>
            <w:left w:w="108" w:type="dxa"/>
            <w:bottom w:w="0" w:type="dxa"/>
            <w:right w:w="108" w:type="dxa"/>
          </w:tblCellMar>
        </w:tblPrEx>
        <w:trPr>
          <w:trHeight w:val="250" w:hRule="atLeast"/>
        </w:trPr>
        <w:tc>
          <w:tcPr>
            <w:tcW w:w="89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321"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w:t>
            </w:r>
          </w:p>
        </w:tc>
        <w:tc>
          <w:tcPr>
            <w:tcW w:w="600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5.818</w:t>
            </w:r>
          </w:p>
        </w:tc>
      </w:tr>
      <w:tr>
        <w:tblPrEx>
          <w:tblCellMar>
            <w:top w:w="0" w:type="dxa"/>
            <w:left w:w="108" w:type="dxa"/>
            <w:bottom w:w="0" w:type="dxa"/>
            <w:right w:w="108" w:type="dxa"/>
          </w:tblCellMar>
        </w:tblPrEx>
        <w:trPr>
          <w:trHeight w:val="553"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方案编制单位</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曲沃县宏都矿业有限公司</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建设单位</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曲沃县宏都矿业有限公司</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曹国庆</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曹国庆</w:t>
            </w: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w:t>
            </w:r>
            <w:r>
              <w:rPr>
                <w:rFonts w:hint="eastAsia" w:ascii="仿宋" w:hAnsi="仿宋" w:eastAsia="仿宋" w:cs="仿宋"/>
                <w:kern w:val="0"/>
                <w:sz w:val="21"/>
                <w:szCs w:val="21"/>
                <w:lang w:eastAsia="zh-CN"/>
              </w:rPr>
              <w:t>曲沃县</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val="zh-CN" w:eastAsia="zh-CN"/>
              </w:rPr>
              <w:t>临汾市</w:t>
            </w:r>
            <w:r>
              <w:rPr>
                <w:rFonts w:hint="eastAsia" w:ascii="仿宋" w:hAnsi="仿宋" w:eastAsia="仿宋" w:cs="仿宋"/>
                <w:kern w:val="0"/>
                <w:sz w:val="21"/>
                <w:szCs w:val="21"/>
                <w:lang w:eastAsia="zh-CN"/>
              </w:rPr>
              <w:t>曲沃县</w:t>
            </w:r>
          </w:p>
        </w:tc>
      </w:tr>
      <w:tr>
        <w:tblPrEx>
          <w:tblCellMar>
            <w:top w:w="0" w:type="dxa"/>
            <w:left w:w="108" w:type="dxa"/>
            <w:bottom w:w="0" w:type="dxa"/>
            <w:right w:w="108" w:type="dxa"/>
          </w:tblCellMar>
        </w:tblPrEx>
        <w:trPr>
          <w:trHeight w:val="236"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041600</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041600</w:t>
            </w:r>
          </w:p>
        </w:tc>
      </w:tr>
      <w:tr>
        <w:tblPrEx>
          <w:tblCellMar>
            <w:top w:w="0" w:type="dxa"/>
            <w:left w:w="108" w:type="dxa"/>
            <w:bottom w:w="0" w:type="dxa"/>
            <w:right w:w="108" w:type="dxa"/>
          </w:tblCellMar>
        </w:tblPrEx>
        <w:trPr>
          <w:trHeight w:val="30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eastAsia="zh-CN"/>
              </w:rPr>
              <w:t>曹国庆</w:t>
            </w:r>
            <w:r>
              <w:rPr>
                <w:rFonts w:hint="eastAsia" w:ascii="仿宋" w:hAnsi="仿宋" w:eastAsia="仿宋" w:cs="仿宋"/>
                <w:kern w:val="0"/>
                <w:sz w:val="21"/>
                <w:szCs w:val="21"/>
                <w:lang w:val="en-US" w:eastAsia="zh-CN"/>
              </w:rPr>
              <w:t>15135381712</w:t>
            </w: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eastAsia="zh-CN"/>
              </w:rPr>
              <w:t>曹国庆</w:t>
            </w:r>
            <w:r>
              <w:rPr>
                <w:rFonts w:hint="eastAsia" w:ascii="仿宋" w:hAnsi="仿宋" w:eastAsia="仿宋" w:cs="仿宋"/>
                <w:kern w:val="0"/>
                <w:sz w:val="21"/>
                <w:szCs w:val="21"/>
                <w:lang w:val="en-US" w:eastAsia="zh-CN"/>
              </w:rPr>
              <w:t>15135381712</w:t>
            </w:r>
          </w:p>
        </w:tc>
      </w:tr>
      <w:tr>
        <w:tblPrEx>
          <w:tblCellMar>
            <w:top w:w="0" w:type="dxa"/>
            <w:left w:w="108" w:type="dxa"/>
            <w:bottom w:w="0" w:type="dxa"/>
            <w:right w:w="108" w:type="dxa"/>
          </w:tblCellMar>
        </w:tblPrEx>
        <w:trPr>
          <w:trHeight w:val="154"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828" w:type="dxa"/>
            <w:gridSpan w:val="2"/>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157"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r>
      <w:tr>
        <w:tblPrEx>
          <w:tblCellMar>
            <w:top w:w="0" w:type="dxa"/>
            <w:left w:w="108" w:type="dxa"/>
            <w:bottom w:w="0" w:type="dxa"/>
            <w:right w:w="108" w:type="dxa"/>
          </w:tblCellMar>
        </w:tblPrEx>
        <w:trPr>
          <w:trHeight w:val="90" w:hRule="atLeast"/>
        </w:trPr>
        <w:tc>
          <w:tcPr>
            <w:tcW w:w="23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828"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192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1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r>
    </w:tbl>
    <w:p>
      <w:pPr>
        <w:pStyle w:val="43"/>
        <w:ind w:firstLine="480"/>
        <w:sectPr>
          <w:headerReference r:id="rId4" w:type="default"/>
          <w:footerReference r:id="rId5"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start="1"/>
          <w:cols w:space="425" w:num="1"/>
          <w:docGrid w:type="lines" w:linePitch="326" w:charSpace="0"/>
        </w:sectPr>
      </w:pPr>
    </w:p>
    <w:p>
      <w:pPr>
        <w:pStyle w:val="43"/>
        <w:ind w:firstLine="0" w:firstLineChars="0"/>
        <w:rPr>
          <w:b/>
        </w:rPr>
      </w:pPr>
      <w:r>
        <w:rPr>
          <w:rFonts w:hint="eastAsia"/>
          <w:b/>
        </w:rPr>
        <w:t>附件：</w:t>
      </w:r>
    </w:p>
    <w:p>
      <w:pPr>
        <w:pStyle w:val="43"/>
        <w:numPr>
          <w:ilvl w:val="0"/>
          <w:numId w:val="1"/>
        </w:numPr>
        <w:ind w:firstLine="578" w:firstLineChars="241"/>
        <w:rPr>
          <w:rFonts w:hint="eastAsia"/>
        </w:rPr>
      </w:pPr>
      <w:r>
        <w:rPr>
          <w:rFonts w:hint="eastAsia"/>
        </w:rPr>
        <w:t>水土保持方案报告表简要说明</w:t>
      </w:r>
    </w:p>
    <w:p>
      <w:pPr>
        <w:pStyle w:val="43"/>
        <w:numPr>
          <w:ilvl w:val="0"/>
          <w:numId w:val="1"/>
        </w:numPr>
        <w:ind w:firstLine="578" w:firstLineChars="241"/>
        <w:rPr>
          <w:rFonts w:hint="eastAsia"/>
        </w:rPr>
      </w:pPr>
      <w:r>
        <w:rPr>
          <w:rFonts w:hint="eastAsia"/>
          <w:lang w:eastAsia="zh-CN"/>
        </w:rPr>
        <w:t>备案文件</w:t>
      </w:r>
    </w:p>
    <w:p>
      <w:pPr>
        <w:pStyle w:val="43"/>
        <w:numPr>
          <w:ilvl w:val="0"/>
          <w:numId w:val="1"/>
        </w:numPr>
        <w:ind w:firstLine="578" w:firstLineChars="241"/>
        <w:rPr>
          <w:rFonts w:hint="eastAsia"/>
        </w:rPr>
      </w:pPr>
      <w:r>
        <w:rPr>
          <w:rFonts w:hint="eastAsia"/>
          <w:lang w:eastAsia="zh-CN"/>
        </w:rPr>
        <w:t>营业执照</w:t>
      </w:r>
    </w:p>
    <w:p>
      <w:pPr>
        <w:pStyle w:val="43"/>
        <w:numPr>
          <w:ilvl w:val="0"/>
          <w:numId w:val="1"/>
        </w:numPr>
        <w:ind w:firstLine="578" w:firstLineChars="241"/>
        <w:rPr>
          <w:rFonts w:hint="eastAsia"/>
        </w:rPr>
      </w:pPr>
      <w:r>
        <w:rPr>
          <w:rFonts w:hint="eastAsia"/>
          <w:lang w:eastAsia="zh-CN"/>
        </w:rPr>
        <w:t>水土保持措施单价表</w:t>
      </w:r>
    </w:p>
    <w:p>
      <w:pPr>
        <w:pStyle w:val="43"/>
        <w:numPr>
          <w:ilvl w:val="0"/>
          <w:numId w:val="1"/>
        </w:numPr>
        <w:ind w:firstLine="578" w:firstLineChars="241"/>
        <w:rPr>
          <w:rFonts w:hint="eastAsia"/>
        </w:rPr>
      </w:pPr>
      <w:r>
        <w:rPr>
          <w:rFonts w:hint="eastAsia"/>
          <w:lang w:eastAsia="zh-CN"/>
        </w:rPr>
        <w:t>尾矿利用综合协议</w:t>
      </w:r>
      <w:bookmarkStart w:id="42" w:name="_GoBack"/>
      <w:bookmarkEnd w:id="42"/>
    </w:p>
    <w:p>
      <w:pPr>
        <w:pStyle w:val="43"/>
        <w:numPr>
          <w:ilvl w:val="0"/>
          <w:numId w:val="1"/>
        </w:numPr>
        <w:ind w:firstLine="578" w:firstLineChars="241"/>
        <w:rPr>
          <w:rFonts w:hint="eastAsia"/>
        </w:rPr>
      </w:pPr>
      <w:r>
        <w:rPr>
          <w:rFonts w:hint="eastAsia"/>
          <w:lang w:eastAsia="zh-CN"/>
        </w:rPr>
        <w:t>审查意见</w:t>
      </w:r>
    </w:p>
    <w:p>
      <w:pPr>
        <w:pStyle w:val="43"/>
        <w:numPr>
          <w:ilvl w:val="0"/>
          <w:numId w:val="1"/>
        </w:numPr>
        <w:ind w:firstLine="578" w:firstLineChars="241"/>
        <w:rPr>
          <w:rFonts w:hint="eastAsia"/>
        </w:rPr>
      </w:pPr>
      <w:r>
        <w:rPr>
          <w:rFonts w:hint="eastAsia"/>
          <w:lang w:eastAsia="zh-CN"/>
        </w:rPr>
        <w:t>修改说明</w:t>
      </w:r>
    </w:p>
    <w:p>
      <w:pPr>
        <w:pStyle w:val="43"/>
        <w:ind w:firstLine="0" w:firstLineChars="0"/>
        <w:rPr>
          <w:b/>
        </w:rPr>
      </w:pPr>
      <w:r>
        <w:rPr>
          <w:rFonts w:hint="eastAsia"/>
          <w:b/>
        </w:rPr>
        <w:t>附图：</w:t>
      </w:r>
    </w:p>
    <w:p>
      <w:pPr>
        <w:pStyle w:val="43"/>
        <w:ind w:firstLine="588" w:firstLineChars="245"/>
        <w:rPr>
          <w:rFonts w:hint="eastAsia"/>
        </w:rPr>
      </w:pPr>
      <w:r>
        <w:rPr>
          <w:rFonts w:hint="eastAsia"/>
        </w:rPr>
        <w:t>1、工程地理位置图</w:t>
      </w:r>
    </w:p>
    <w:p>
      <w:pPr>
        <w:pStyle w:val="43"/>
        <w:ind w:firstLine="588" w:firstLineChars="245"/>
        <w:rPr>
          <w:rFonts w:hint="eastAsia"/>
        </w:rPr>
      </w:pPr>
      <w:r>
        <w:rPr>
          <w:rFonts w:hint="eastAsia"/>
          <w:lang w:val="en-US" w:eastAsia="zh-CN"/>
        </w:rPr>
        <w:t>2、</w:t>
      </w:r>
      <w:r>
        <w:rPr>
          <w:rFonts w:hint="eastAsia"/>
        </w:rPr>
        <w:t>项目区水系图</w:t>
      </w:r>
    </w:p>
    <w:p>
      <w:pPr>
        <w:pStyle w:val="43"/>
        <w:ind w:firstLine="588" w:firstLineChars="245"/>
        <w:rPr>
          <w:rFonts w:hint="eastAsia"/>
        </w:rPr>
      </w:pPr>
      <w:r>
        <w:rPr>
          <w:rFonts w:hint="eastAsia"/>
          <w:lang w:val="en-US" w:eastAsia="zh-CN"/>
        </w:rPr>
        <w:t>3</w:t>
      </w:r>
      <w:r>
        <w:rPr>
          <w:rFonts w:hint="eastAsia"/>
        </w:rPr>
        <w:t>、工程总平面布置图</w:t>
      </w:r>
      <w:bookmarkEnd w:id="1"/>
      <w:bookmarkEnd w:id="2"/>
      <w:bookmarkEnd w:id="3"/>
      <w:bookmarkEnd w:id="4"/>
    </w:p>
    <w:p>
      <w:pPr>
        <w:pStyle w:val="43"/>
        <w:ind w:firstLine="588" w:firstLineChars="245"/>
        <w:rPr>
          <w:rFonts w:hint="default"/>
          <w:lang w:val="en-US" w:eastAsia="zh-CN"/>
        </w:rPr>
      </w:pPr>
      <w:r>
        <w:rPr>
          <w:rFonts w:hint="eastAsia"/>
          <w:lang w:val="en-US" w:eastAsia="zh-CN"/>
        </w:rPr>
        <w:t>4、工业场地绿化典型设计</w:t>
      </w:r>
    </w:p>
    <w:p>
      <w:pPr>
        <w:rPr>
          <w:rFonts w:hint="eastAsia"/>
        </w:rPr>
      </w:pPr>
      <w:r>
        <w:rPr>
          <w:rFonts w:hint="eastAsia"/>
        </w:rPr>
        <w:br w:type="page"/>
      </w:r>
    </w:p>
    <w:p>
      <w:pPr>
        <w:pStyle w:val="39"/>
        <w:rPr>
          <w:szCs w:val="24"/>
        </w:rPr>
      </w:pPr>
      <w:r>
        <w:rPr>
          <w:rFonts w:hint="eastAsia"/>
        </w:rPr>
        <w:t>附件</w:t>
      </w:r>
    </w:p>
    <w:p>
      <w:pPr>
        <w:pStyle w:val="48"/>
        <w:jc w:val="center"/>
        <w:rPr>
          <w:rFonts w:cs="宋体" w:asciiTheme="minorEastAsia" w:hAnsiTheme="minorEastAsia"/>
          <w:spacing w:val="-20"/>
          <w:kern w:val="0"/>
          <w:sz w:val="28"/>
          <w:szCs w:val="24"/>
          <w:u w:val="single"/>
        </w:rPr>
      </w:pPr>
    </w:p>
    <w:p/>
    <w:p/>
    <w:p/>
    <w:p/>
    <w:p/>
    <w:p>
      <w:pPr>
        <w:pStyle w:val="48"/>
        <w:spacing w:line="360" w:lineRule="auto"/>
        <w:jc w:val="center"/>
        <w:rPr>
          <w:rFonts w:hint="eastAsia" w:cs="宋体" w:asciiTheme="minorEastAsia" w:hAnsiTheme="minorEastAsia" w:eastAsiaTheme="minorEastAsia"/>
          <w:kern w:val="0"/>
          <w:sz w:val="32"/>
          <w:szCs w:val="24"/>
          <w:lang w:eastAsia="zh-CN"/>
        </w:rPr>
      </w:pPr>
      <w:r>
        <w:rPr>
          <w:rFonts w:hint="eastAsia" w:cs="宋体" w:asciiTheme="minorEastAsia" w:hAnsiTheme="minorEastAsia" w:eastAsiaTheme="minorEastAsia"/>
          <w:kern w:val="0"/>
          <w:sz w:val="32"/>
          <w:szCs w:val="24"/>
          <w:lang w:eastAsia="zh-CN"/>
        </w:rPr>
        <w:t>曲沃县宏都矿业有限公司</w:t>
      </w:r>
    </w:p>
    <w:p>
      <w:pPr>
        <w:pStyle w:val="48"/>
        <w:spacing w:line="360" w:lineRule="auto"/>
        <w:jc w:val="center"/>
        <w:rPr>
          <w:rFonts w:hint="eastAsia" w:cs="宋体" w:asciiTheme="minorEastAsia" w:hAnsiTheme="minorEastAsia" w:eastAsiaTheme="minorEastAsia"/>
          <w:kern w:val="0"/>
          <w:sz w:val="32"/>
          <w:szCs w:val="24"/>
          <w:lang w:eastAsia="zh-CN"/>
        </w:rPr>
      </w:pPr>
      <w:r>
        <w:rPr>
          <w:rFonts w:hint="eastAsia" w:cs="宋体" w:asciiTheme="minorEastAsia" w:hAnsiTheme="minorEastAsia" w:eastAsiaTheme="minorEastAsia"/>
          <w:kern w:val="0"/>
          <w:sz w:val="32"/>
          <w:szCs w:val="24"/>
          <w:lang w:eastAsia="zh-CN"/>
        </w:rPr>
        <w:t>年产6000万块蒸压粉煤灰砖建设项目</w:t>
      </w:r>
    </w:p>
    <w:p>
      <w:pPr>
        <w:pStyle w:val="48"/>
        <w:spacing w:line="360" w:lineRule="auto"/>
        <w:jc w:val="center"/>
        <w:rPr>
          <w:rFonts w:asciiTheme="minorEastAsia" w:hAnsiTheme="minorEastAsia" w:eastAsiaTheme="minorEastAsia"/>
          <w:sz w:val="32"/>
        </w:rPr>
      </w:pPr>
      <w:r>
        <w:rPr>
          <w:rFonts w:asciiTheme="minorEastAsia" w:hAnsiTheme="minorEastAsia" w:eastAsiaTheme="minorEastAsia"/>
          <w:sz w:val="32"/>
        </w:rPr>
        <w:t>水土保持方案</w:t>
      </w:r>
      <w:r>
        <w:rPr>
          <w:rFonts w:hint="eastAsia" w:asciiTheme="minorEastAsia" w:hAnsiTheme="minorEastAsia" w:eastAsiaTheme="minorEastAsia"/>
          <w:sz w:val="32"/>
        </w:rPr>
        <w:t>报告</w:t>
      </w:r>
      <w:r>
        <w:rPr>
          <w:rFonts w:asciiTheme="minorEastAsia" w:hAnsiTheme="minorEastAsia" w:eastAsiaTheme="minorEastAsia"/>
          <w:sz w:val="32"/>
        </w:rPr>
        <w:t>表</w:t>
      </w:r>
    </w:p>
    <w:p>
      <w:pPr>
        <w:pStyle w:val="48"/>
        <w:spacing w:line="360" w:lineRule="auto"/>
        <w:jc w:val="center"/>
        <w:rPr>
          <w:spacing w:val="-20"/>
          <w:sz w:val="32"/>
        </w:rPr>
      </w:pPr>
      <w:r>
        <w:rPr>
          <w:rFonts w:hint="eastAsia" w:asciiTheme="minorEastAsia" w:hAnsiTheme="minorEastAsia" w:eastAsiaTheme="minorEastAsia"/>
          <w:sz w:val="32"/>
        </w:rPr>
        <w:t>简要说明</w:t>
      </w:r>
    </w:p>
    <w:p>
      <w:pPr>
        <w:pStyle w:val="43"/>
        <w:ind w:firstLine="0" w:firstLineChars="0"/>
      </w:pPr>
    </w:p>
    <w:p>
      <w:pPr>
        <w:pStyle w:val="43"/>
        <w:ind w:firstLine="0" w:firstLineChars="0"/>
      </w:pPr>
    </w:p>
    <w:p>
      <w:pPr>
        <w:widowControl/>
        <w:jc w:val="left"/>
        <w:rPr>
          <w:rFonts w:eastAsia="宋体" w:cs="Times New Roman"/>
          <w:szCs w:val="24"/>
        </w:rPr>
      </w:pPr>
      <w:r>
        <w:br w:type="page"/>
      </w:r>
    </w:p>
    <w:p>
      <w:pPr>
        <w:pStyle w:val="37"/>
      </w:pPr>
      <w:r>
        <w:t>1</w:t>
      </w:r>
      <w:r>
        <w:rPr>
          <w:rFonts w:hint="eastAsia"/>
        </w:rPr>
        <w:t>项目概况</w:t>
      </w:r>
    </w:p>
    <w:p>
      <w:pPr>
        <w:pStyle w:val="43"/>
        <w:ind w:left="0" w:leftChars="0" w:firstLine="0" w:firstLineChars="0"/>
        <w:rPr>
          <w:rFonts w:hint="default" w:eastAsia="宋体"/>
          <w:b/>
          <w:bCs/>
          <w:lang w:val="en-US" w:eastAsia="zh-CN"/>
        </w:rPr>
      </w:pPr>
      <w:r>
        <w:rPr>
          <w:rFonts w:hint="eastAsia"/>
          <w:b/>
          <w:bCs/>
          <w:lang w:val="en-US" w:eastAsia="zh-CN"/>
        </w:rPr>
        <w:t>1.1项目基本情况</w:t>
      </w:r>
    </w:p>
    <w:p>
      <w:pPr>
        <w:spacing w:line="500" w:lineRule="exact"/>
        <w:ind w:firstLine="480" w:firstLineChars="200"/>
        <w:rPr>
          <w:rFonts w:hint="eastAsia" w:ascii="Times New Roman" w:hAnsi="Times New Roman" w:eastAsia="宋体" w:cs="Times New Roman"/>
          <w:kern w:val="2"/>
          <w:sz w:val="24"/>
          <w:szCs w:val="24"/>
          <w:lang w:val="zh-CN" w:eastAsia="zh-CN" w:bidi="ar-SA"/>
        </w:rPr>
      </w:pPr>
      <w:bookmarkStart w:id="5" w:name="_Toc247790217"/>
      <w:bookmarkStart w:id="6" w:name="_Toc200014172"/>
      <w:r>
        <w:rPr>
          <w:rFonts w:hint="eastAsia" w:eastAsia="宋体" w:cs="Times New Roman"/>
          <w:kern w:val="2"/>
          <w:sz w:val="24"/>
          <w:szCs w:val="24"/>
          <w:lang w:val="zh-CN" w:eastAsia="zh-CN" w:bidi="ar-SA"/>
        </w:rPr>
        <w:t>曲沃县宏都矿业有限公司年加工20万吨铁精粉建设项目地址位于山西省临汾市曲沃县乐昌镇西宁村西南220米，行政区划隶属乐昌镇管辖。其场地中心地理坐标为北纬35°39′40.50″，东经111°29′52.09″。</w:t>
      </w:r>
      <w:r>
        <w:rPr>
          <w:rFonts w:hint="eastAsia"/>
          <w:lang w:eastAsia="zh-CN"/>
        </w:rPr>
        <w:t>目于</w:t>
      </w:r>
      <w:r>
        <w:rPr>
          <w:rFonts w:hint="eastAsia"/>
          <w:lang w:val="en-US" w:eastAsia="zh-CN"/>
        </w:rPr>
        <w:t>2018</w:t>
      </w:r>
      <w:r>
        <w:rPr>
          <w:rFonts w:hint="eastAsia"/>
        </w:rPr>
        <w:t>年</w:t>
      </w:r>
      <w:r>
        <w:rPr>
          <w:rFonts w:hint="eastAsia"/>
          <w:lang w:val="en-US" w:eastAsia="zh-CN"/>
        </w:rPr>
        <w:t>8月27日在曲沃县发展和改革局以曲发改审批</w:t>
      </w:r>
      <w:r>
        <w:rPr>
          <w:rFonts w:hint="eastAsia" w:ascii="宋体" w:hAnsi="宋体" w:eastAsia="宋体" w:cs="宋体"/>
          <w:lang w:val="en-US" w:eastAsia="zh-CN"/>
        </w:rPr>
        <w:t>[2018]131号</w:t>
      </w:r>
      <w:r>
        <w:rPr>
          <w:rFonts w:hint="eastAsia"/>
          <w:lang w:val="en-US" w:eastAsia="zh-CN"/>
        </w:rPr>
        <w:t>行了备案</w:t>
      </w:r>
      <w:r>
        <w:rPr>
          <w:rFonts w:hint="eastAsia"/>
        </w:rPr>
        <w:t>，</w:t>
      </w:r>
      <w:r>
        <w:rPr>
          <w:rFonts w:hint="eastAsia"/>
          <w:lang w:eastAsia="zh-CN"/>
        </w:rPr>
        <w:t>项目已于</w:t>
      </w:r>
      <w:r>
        <w:rPr>
          <w:rFonts w:hint="eastAsia"/>
          <w:lang w:val="en-US" w:eastAsia="zh-CN"/>
        </w:rPr>
        <w:t>2018年10月开工建设，2019年6月建成并投入使用，项目紧邻县道路，可通往108国道，交通网络四通八达、出行便捷。</w:t>
      </w:r>
    </w:p>
    <w:bookmarkEnd w:id="5"/>
    <w:bookmarkEnd w:id="6"/>
    <w:p>
      <w:pPr>
        <w:spacing w:line="500" w:lineRule="exact"/>
        <w:ind w:firstLine="480" w:firstLineChars="200"/>
        <w:rPr>
          <w:rFonts w:hint="eastAsia"/>
          <w:color w:val="auto"/>
          <w:sz w:val="24"/>
          <w:szCs w:val="24"/>
          <w:highlight w:val="none"/>
        </w:rPr>
      </w:pPr>
      <w:r>
        <w:rPr>
          <w:rFonts w:hint="eastAsia"/>
          <w:color w:val="auto"/>
          <w:sz w:val="24"/>
          <w:szCs w:val="24"/>
          <w:highlight w:val="none"/>
        </w:rPr>
        <w:t>我国有较丰富的铁矿资源，据有关资料报道，全国总储量为</w:t>
      </w:r>
      <w:r>
        <w:rPr>
          <w:color w:val="auto"/>
          <w:sz w:val="24"/>
          <w:szCs w:val="24"/>
          <w:highlight w:val="none"/>
        </w:rPr>
        <w:t>443</w:t>
      </w:r>
      <w:r>
        <w:rPr>
          <w:rFonts w:hint="eastAsia"/>
          <w:color w:val="auto"/>
          <w:sz w:val="24"/>
          <w:szCs w:val="24"/>
          <w:highlight w:val="none"/>
        </w:rPr>
        <w:t>亿吨，山西省在储量较大的九个省区中位于辽宁、四川、河北之后，居全国第四位。曲沃县周围县市生产出的铁矿粉品位比较低、矿粉品位</w:t>
      </w:r>
      <w:r>
        <w:rPr>
          <w:color w:val="auto"/>
          <w:sz w:val="24"/>
          <w:szCs w:val="24"/>
          <w:highlight w:val="none"/>
        </w:rPr>
        <w:t>Tfe</w:t>
      </w:r>
      <w:r>
        <w:rPr>
          <w:rFonts w:hint="eastAsia"/>
          <w:color w:val="auto"/>
          <w:sz w:val="24"/>
          <w:szCs w:val="24"/>
          <w:highlight w:val="none"/>
        </w:rPr>
        <w:t>在</w:t>
      </w:r>
      <w:r>
        <w:rPr>
          <w:color w:val="auto"/>
          <w:sz w:val="24"/>
          <w:szCs w:val="24"/>
          <w:highlight w:val="none"/>
        </w:rPr>
        <w:t>60%</w:t>
      </w:r>
      <w:r>
        <w:rPr>
          <w:rFonts w:hint="eastAsia"/>
          <w:color w:val="auto"/>
          <w:sz w:val="24"/>
          <w:szCs w:val="24"/>
          <w:highlight w:val="none"/>
        </w:rPr>
        <w:t>左右，由于铁矿粉品位比较低，不能满足钢铁企业直接入炉（</w:t>
      </w:r>
      <w:r>
        <w:rPr>
          <w:color w:val="auto"/>
          <w:sz w:val="24"/>
          <w:szCs w:val="24"/>
          <w:highlight w:val="none"/>
        </w:rPr>
        <w:t>Tfe 65%</w:t>
      </w:r>
      <w:r>
        <w:rPr>
          <w:rFonts w:hint="eastAsia"/>
          <w:color w:val="auto"/>
          <w:sz w:val="24"/>
          <w:szCs w:val="24"/>
          <w:highlight w:val="none"/>
        </w:rPr>
        <w:t>）的要求。因此，曲沃县宏都矿业有限公司决定投资</w:t>
      </w:r>
      <w:r>
        <w:rPr>
          <w:color w:val="auto"/>
          <w:sz w:val="24"/>
          <w:szCs w:val="24"/>
          <w:highlight w:val="none"/>
        </w:rPr>
        <w:t>600</w:t>
      </w:r>
      <w:r>
        <w:rPr>
          <w:rFonts w:hint="eastAsia"/>
          <w:color w:val="auto"/>
          <w:sz w:val="24"/>
          <w:szCs w:val="24"/>
          <w:highlight w:val="none"/>
        </w:rPr>
        <w:t>万元建设</w:t>
      </w:r>
      <w:r>
        <w:rPr>
          <w:rFonts w:hint="eastAsia"/>
          <w:bCs/>
          <w:color w:val="auto"/>
          <w:spacing w:val="4"/>
          <w:sz w:val="24"/>
          <w:highlight w:val="none"/>
        </w:rPr>
        <w:t>年加工</w:t>
      </w:r>
      <w:r>
        <w:rPr>
          <w:bCs/>
          <w:color w:val="auto"/>
          <w:spacing w:val="4"/>
          <w:sz w:val="24"/>
          <w:highlight w:val="none"/>
        </w:rPr>
        <w:t>20</w:t>
      </w:r>
      <w:r>
        <w:rPr>
          <w:rFonts w:hint="eastAsia"/>
          <w:bCs/>
          <w:color w:val="auto"/>
          <w:spacing w:val="4"/>
          <w:sz w:val="24"/>
          <w:highlight w:val="none"/>
        </w:rPr>
        <w:t>万吨铁精粉建设项目</w:t>
      </w:r>
      <w:r>
        <w:rPr>
          <w:rFonts w:hint="eastAsia"/>
          <w:color w:val="auto"/>
          <w:sz w:val="24"/>
          <w:szCs w:val="24"/>
          <w:highlight w:val="none"/>
        </w:rPr>
        <w:t>，建设规模年加工精矿粉（低品位）</w:t>
      </w:r>
      <w:r>
        <w:rPr>
          <w:color w:val="auto"/>
          <w:sz w:val="24"/>
          <w:szCs w:val="24"/>
          <w:highlight w:val="none"/>
        </w:rPr>
        <w:t>20</w:t>
      </w:r>
      <w:r>
        <w:rPr>
          <w:rFonts w:hint="eastAsia"/>
          <w:color w:val="auto"/>
          <w:sz w:val="24"/>
          <w:szCs w:val="24"/>
          <w:highlight w:val="none"/>
        </w:rPr>
        <w:t>万吨，年产精矿粉（高品位）</w:t>
      </w:r>
      <w:r>
        <w:rPr>
          <w:color w:val="auto"/>
          <w:sz w:val="24"/>
          <w:szCs w:val="24"/>
          <w:highlight w:val="none"/>
        </w:rPr>
        <w:t>17.7</w:t>
      </w:r>
      <w:r>
        <w:rPr>
          <w:rFonts w:hint="eastAsia"/>
          <w:color w:val="auto"/>
          <w:sz w:val="24"/>
          <w:szCs w:val="24"/>
          <w:highlight w:val="none"/>
        </w:rPr>
        <w:t>万吨。</w:t>
      </w:r>
    </w:p>
    <w:p>
      <w:pPr>
        <w:spacing w:line="500" w:lineRule="exact"/>
        <w:ind w:firstLine="480" w:firstLineChars="200"/>
        <w:rPr>
          <w:rFonts w:hint="eastAsia"/>
          <w:snapToGrid w:val="0"/>
          <w:kern w:val="0"/>
        </w:rPr>
      </w:pPr>
      <w:r>
        <w:rPr>
          <w:rFonts w:hint="eastAsia"/>
          <w:lang w:eastAsia="zh-CN"/>
        </w:rPr>
        <w:t>本项目</w:t>
      </w:r>
      <w:r>
        <w:rPr>
          <w:rFonts w:hint="eastAsia"/>
        </w:rPr>
        <w:t>工程总征占地面积</w:t>
      </w:r>
      <w:r>
        <w:rPr>
          <w:rFonts w:hint="eastAsia"/>
          <w:lang w:val="en-US" w:eastAsia="zh-CN"/>
        </w:rPr>
        <w:t>1.72</w:t>
      </w:r>
      <w:r>
        <w:rPr>
          <w:rFonts w:hint="eastAsia" w:eastAsia="宋体" w:cs="Times New Roman"/>
          <w:snapToGrid w:val="0"/>
          <w:kern w:val="0"/>
          <w:szCs w:val="24"/>
          <w:lang w:val="en-US" w:eastAsia="zh-CN"/>
        </w:rPr>
        <w:t>h</w:t>
      </w:r>
      <w:r>
        <w:rPr>
          <w:rFonts w:eastAsia="宋体" w:cs="Times New Roman"/>
          <w:snapToGrid w:val="0"/>
          <w:kern w:val="0"/>
          <w:szCs w:val="24"/>
        </w:rPr>
        <w:t>m</w:t>
      </w:r>
      <w:r>
        <w:rPr>
          <w:rFonts w:eastAsia="宋体" w:cs="Times New Roman"/>
          <w:snapToGrid w:val="0"/>
          <w:kern w:val="0"/>
          <w:szCs w:val="24"/>
          <w:vertAlign w:val="superscript"/>
        </w:rPr>
        <w:t>2</w:t>
      </w:r>
      <w:r>
        <w:rPr>
          <w:rFonts w:hint="eastAsia" w:eastAsia="宋体" w:cs="Times New Roman"/>
          <w:snapToGrid w:val="0"/>
          <w:kern w:val="0"/>
          <w:szCs w:val="24"/>
          <w:lang w:eastAsia="zh-CN"/>
        </w:rPr>
        <w:t>，均为永久占地</w:t>
      </w:r>
      <w:r>
        <w:rPr>
          <w:rFonts w:hint="eastAsia" w:eastAsia="宋体" w:cs="Times New Roman"/>
          <w:snapToGrid w:val="0"/>
          <w:kern w:val="0"/>
          <w:szCs w:val="24"/>
          <w:lang w:val="en-US" w:eastAsia="zh-CN"/>
        </w:rPr>
        <w:t>，</w:t>
      </w:r>
      <w:r>
        <w:rPr>
          <w:rFonts w:hint="eastAsia"/>
          <w:snapToGrid w:val="0"/>
          <w:kern w:val="0"/>
        </w:rPr>
        <w:t>工程</w:t>
      </w:r>
      <w:r>
        <w:rPr>
          <w:rFonts w:hint="eastAsia"/>
          <w:snapToGrid w:val="0"/>
          <w:kern w:val="0"/>
          <w:lang w:eastAsia="zh-CN"/>
        </w:rPr>
        <w:t>土建过程</w:t>
      </w:r>
      <w:r>
        <w:rPr>
          <w:rFonts w:hint="eastAsia"/>
          <w:snapToGrid w:val="0"/>
          <w:kern w:val="0"/>
        </w:rPr>
        <w:t>土石方</w:t>
      </w:r>
      <w:r>
        <w:rPr>
          <w:bCs/>
          <w:snapToGrid w:val="0"/>
          <w:kern w:val="0"/>
        </w:rPr>
        <w:t>开挖</w:t>
      </w:r>
      <w:r>
        <w:rPr>
          <w:rFonts w:hint="eastAsia"/>
          <w:kern w:val="0"/>
          <w:lang w:val="en-US" w:eastAsia="zh-CN"/>
        </w:rPr>
        <w:t>0.6万</w:t>
      </w:r>
      <w:r>
        <w:rPr>
          <w:bCs/>
          <w:snapToGrid w:val="0"/>
          <w:kern w:val="0"/>
        </w:rPr>
        <w:t>m</w:t>
      </w:r>
      <w:r>
        <w:rPr>
          <w:bCs/>
          <w:snapToGrid w:val="0"/>
          <w:kern w:val="0"/>
          <w:vertAlign w:val="superscript"/>
        </w:rPr>
        <w:t>3</w:t>
      </w:r>
      <w:r>
        <w:rPr>
          <w:snapToGrid w:val="0"/>
        </w:rPr>
        <w:t>，</w:t>
      </w:r>
      <w:r>
        <w:rPr>
          <w:bCs/>
          <w:snapToGrid w:val="0"/>
          <w:kern w:val="0"/>
        </w:rPr>
        <w:t>填方</w:t>
      </w:r>
      <w:r>
        <w:rPr>
          <w:rFonts w:hint="eastAsia"/>
          <w:bCs/>
          <w:snapToGrid w:val="0"/>
          <w:kern w:val="0"/>
          <w:lang w:val="en-US" w:eastAsia="zh-CN"/>
        </w:rPr>
        <w:t>0.6万</w:t>
      </w:r>
      <w:r>
        <w:rPr>
          <w:bCs/>
          <w:snapToGrid w:val="0"/>
          <w:kern w:val="0"/>
        </w:rPr>
        <w:t>m</w:t>
      </w:r>
      <w:r>
        <w:rPr>
          <w:bCs/>
          <w:snapToGrid w:val="0"/>
          <w:kern w:val="0"/>
          <w:vertAlign w:val="superscript"/>
        </w:rPr>
        <w:t>3</w:t>
      </w:r>
      <w:r>
        <w:rPr>
          <w:snapToGrid w:val="0"/>
          <w:kern w:val="0"/>
        </w:rPr>
        <w:t>，</w:t>
      </w:r>
      <w:r>
        <w:rPr>
          <w:rFonts w:hint="eastAsia"/>
          <w:snapToGrid w:val="0"/>
          <w:kern w:val="0"/>
        </w:rPr>
        <w:t>土石方挖填平衡，</w:t>
      </w:r>
      <w:r>
        <w:rPr>
          <w:rFonts w:hint="eastAsia"/>
          <w:snapToGrid w:val="0"/>
          <w:kern w:val="0"/>
          <w:lang w:eastAsia="zh-CN"/>
        </w:rPr>
        <w:t>项目生产过程中无弃渣产生</w:t>
      </w:r>
      <w:r>
        <w:rPr>
          <w:rFonts w:hint="eastAsia"/>
          <w:snapToGrid w:val="0"/>
          <w:kern w:val="0"/>
        </w:rPr>
        <w:t>。</w:t>
      </w:r>
    </w:p>
    <w:p>
      <w:pPr>
        <w:pStyle w:val="43"/>
        <w:ind w:firstLine="480"/>
        <w:rPr>
          <w:rFonts w:hint="eastAsia"/>
        </w:rPr>
      </w:pPr>
      <w:r>
        <w:rPr>
          <w:rFonts w:hint="eastAsia"/>
        </w:rPr>
        <w:t>项目已于20</w:t>
      </w:r>
      <w:r>
        <w:rPr>
          <w:rFonts w:hint="eastAsia"/>
          <w:lang w:val="en-US" w:eastAsia="zh-CN"/>
        </w:rPr>
        <w:t>18</w:t>
      </w:r>
      <w:r>
        <w:rPr>
          <w:rFonts w:hint="eastAsia"/>
        </w:rPr>
        <w:t>年</w:t>
      </w:r>
      <w:r>
        <w:rPr>
          <w:rFonts w:hint="eastAsia"/>
          <w:lang w:val="en-US" w:eastAsia="zh-CN"/>
        </w:rPr>
        <w:t>10</w:t>
      </w:r>
      <w:r>
        <w:rPr>
          <w:rFonts w:hint="eastAsia"/>
        </w:rPr>
        <w:t>月开工建设，20</w:t>
      </w:r>
      <w:r>
        <w:rPr>
          <w:rFonts w:hint="eastAsia"/>
          <w:lang w:val="en-US" w:eastAsia="zh-CN"/>
        </w:rPr>
        <w:t>19</w:t>
      </w:r>
      <w:r>
        <w:rPr>
          <w:rFonts w:hint="eastAsia"/>
        </w:rPr>
        <w:t>年</w:t>
      </w:r>
      <w:r>
        <w:rPr>
          <w:rFonts w:hint="eastAsia"/>
          <w:lang w:val="en-US" w:eastAsia="zh-CN"/>
        </w:rPr>
        <w:t>6</w:t>
      </w:r>
      <w:r>
        <w:rPr>
          <w:rFonts w:hint="eastAsia"/>
        </w:rPr>
        <w:t>月建成并投入使用，建设工期</w:t>
      </w:r>
      <w:r>
        <w:rPr>
          <w:rFonts w:hint="eastAsia"/>
          <w:lang w:val="en-US" w:eastAsia="zh-CN"/>
        </w:rPr>
        <w:t>8</w:t>
      </w:r>
      <w:r>
        <w:rPr>
          <w:rFonts w:hint="eastAsia"/>
        </w:rPr>
        <w:t>个月</w:t>
      </w:r>
      <w:r>
        <w:rPr>
          <w:rFonts w:hint="eastAsia"/>
          <w:lang w:eastAsia="zh-CN"/>
        </w:rPr>
        <w:t>，</w:t>
      </w:r>
      <w:r>
        <w:rPr>
          <w:rFonts w:hint="eastAsia"/>
        </w:rPr>
        <w:t>工程静态总投资</w:t>
      </w:r>
      <w:r>
        <w:rPr>
          <w:rFonts w:hint="eastAsia"/>
          <w:lang w:val="en-US" w:eastAsia="zh-CN"/>
        </w:rPr>
        <w:t>600</w:t>
      </w:r>
      <w:r>
        <w:rPr>
          <w:rFonts w:hint="eastAsia"/>
          <w:snapToGrid w:val="0"/>
          <w:kern w:val="0"/>
        </w:rPr>
        <w:t>万元</w:t>
      </w:r>
      <w:r>
        <w:rPr>
          <w:rFonts w:hint="eastAsia"/>
        </w:rPr>
        <w:t>，其中土建投资</w:t>
      </w:r>
      <w:r>
        <w:rPr>
          <w:rFonts w:hint="eastAsia"/>
          <w:lang w:val="en-US" w:eastAsia="zh-CN"/>
        </w:rPr>
        <w:t>220</w:t>
      </w:r>
      <w:r>
        <w:rPr>
          <w:rFonts w:hint="eastAsia"/>
        </w:rPr>
        <w:t>万元。投资来源于企业自筹。</w:t>
      </w:r>
    </w:p>
    <w:p>
      <w:pPr>
        <w:pStyle w:val="43"/>
        <w:ind w:firstLine="480"/>
        <w:rPr>
          <w:rFonts w:hint="eastAsia"/>
          <w:snapToGrid w:val="0"/>
          <w:kern w:val="0"/>
          <w:lang w:val="en-US" w:eastAsia="zh-CN"/>
        </w:rPr>
      </w:pPr>
      <w:r>
        <w:rPr>
          <w:rFonts w:hint="eastAsia"/>
          <w:snapToGrid w:val="0"/>
          <w:kern w:val="0"/>
          <w:lang w:val="en-US" w:eastAsia="zh-CN"/>
        </w:rPr>
        <w:t>工业场地：工业场地内布置有选矿车间、原料库、产品库、浓缩机、循环水池、等生产生活设施</w:t>
      </w:r>
      <w:r>
        <w:rPr>
          <w:rFonts w:hint="eastAsia" w:ascii="Times New Roman" w:hAnsi="Times New Roman" w:eastAsia="宋体" w:cs="Times New Roman"/>
          <w:kern w:val="2"/>
          <w:sz w:val="24"/>
          <w:szCs w:val="24"/>
          <w:lang w:val="zh-CN" w:eastAsia="zh-CN" w:bidi="ar-SA"/>
        </w:rPr>
        <w:t>。</w:t>
      </w:r>
      <w:r>
        <w:rPr>
          <w:rFonts w:hint="eastAsia" w:cs="Times New Roman"/>
          <w:kern w:val="2"/>
          <w:sz w:val="24"/>
          <w:szCs w:val="24"/>
          <w:lang w:val="zh-CN" w:eastAsia="zh-CN" w:bidi="ar-SA"/>
        </w:rPr>
        <w:t>工业场地占地面积</w:t>
      </w:r>
      <w:r>
        <w:rPr>
          <w:rFonts w:hint="eastAsia" w:cs="Times New Roman"/>
          <w:kern w:val="2"/>
          <w:sz w:val="24"/>
          <w:szCs w:val="24"/>
          <w:lang w:val="en-US" w:eastAsia="zh-CN" w:bidi="ar-SA"/>
        </w:rPr>
        <w:t>1.51</w:t>
      </w:r>
      <w:r>
        <w:rPr>
          <w:rFonts w:hint="eastAsia" w:eastAsia="宋体" w:cs="Times New Roman"/>
          <w:kern w:val="2"/>
          <w:sz w:val="24"/>
          <w:szCs w:val="24"/>
          <w:lang w:val="en-US" w:eastAsia="zh-CN" w:bidi="ar-SA"/>
        </w:rPr>
        <w:t>hm</w:t>
      </w:r>
      <w:r>
        <w:rPr>
          <w:rFonts w:hint="eastAsia" w:eastAsia="宋体" w:cs="Times New Roman"/>
          <w:kern w:val="2"/>
          <w:sz w:val="24"/>
          <w:szCs w:val="24"/>
          <w:vertAlign w:val="superscript"/>
          <w:lang w:val="en-US" w:eastAsia="zh-CN" w:bidi="ar-SA"/>
        </w:rPr>
        <w:t>2</w:t>
      </w:r>
      <w:r>
        <w:rPr>
          <w:rFonts w:hint="eastAsia" w:eastAsia="宋体" w:cs="Times New Roman"/>
          <w:kern w:val="2"/>
          <w:sz w:val="24"/>
          <w:szCs w:val="24"/>
          <w:lang w:val="en-US" w:eastAsia="zh-CN" w:bidi="ar-SA"/>
        </w:rPr>
        <w:t>，</w:t>
      </w:r>
      <w:r>
        <w:rPr>
          <w:rFonts w:hint="eastAsia"/>
          <w:snapToGrid w:val="0"/>
          <w:kern w:val="0"/>
          <w:lang w:val="en-US" w:eastAsia="zh-CN"/>
        </w:rPr>
        <w:t>均为永久占地，占地类型为工业用地。目前内布设有雨水收集池一座，尺寸长15米，宽4米，深3米，场地雨水通过地表漫流到工业场地雨水收集池内，现有绿化措施0.01hm</w:t>
      </w:r>
      <w:r>
        <w:rPr>
          <w:rFonts w:hint="eastAsia"/>
          <w:snapToGrid w:val="0"/>
          <w:kern w:val="0"/>
          <w:vertAlign w:val="superscript"/>
          <w:lang w:val="en-US" w:eastAsia="zh-CN"/>
        </w:rPr>
        <w:t>2</w:t>
      </w:r>
      <w:r>
        <w:rPr>
          <w:rFonts w:hint="eastAsia"/>
          <w:snapToGrid w:val="0"/>
          <w:kern w:val="0"/>
          <w:lang w:val="en-US" w:eastAsia="zh-CN"/>
        </w:rPr>
        <w:t>，方案新增场内西侧空地0.12hm</w:t>
      </w:r>
      <w:r>
        <w:rPr>
          <w:rFonts w:hint="eastAsia"/>
          <w:snapToGrid w:val="0"/>
          <w:kern w:val="0"/>
          <w:vertAlign w:val="superscript"/>
          <w:lang w:val="en-US" w:eastAsia="zh-CN"/>
        </w:rPr>
        <w:t>2</w:t>
      </w:r>
      <w:r>
        <w:rPr>
          <w:rFonts w:hint="eastAsia"/>
          <w:snapToGrid w:val="0"/>
          <w:kern w:val="0"/>
          <w:lang w:val="en-US" w:eastAsia="zh-CN"/>
        </w:rPr>
        <w:t>（为裸露地面）的绿化措施。</w:t>
      </w:r>
    </w:p>
    <w:p>
      <w:pPr>
        <w:pStyle w:val="43"/>
        <w:ind w:firstLine="480"/>
        <w:rPr>
          <w:rFonts w:hint="eastAsia"/>
          <w:snapToGrid w:val="0"/>
          <w:kern w:val="0"/>
          <w:lang w:val="en-US" w:eastAsia="zh-CN"/>
        </w:rPr>
      </w:pPr>
      <w:r>
        <w:rPr>
          <w:rFonts w:hint="eastAsia"/>
          <w:snapToGrid w:val="0"/>
          <w:kern w:val="0"/>
          <w:lang w:val="en-US" w:eastAsia="zh-CN"/>
        </w:rPr>
        <w:t>办公生活区：办公生活区位于场地西北侧，布置有办公室、门卫房，厨房等生活设施，场地地面已全部硬化。办公生活区</w:t>
      </w:r>
      <w:r>
        <w:rPr>
          <w:rFonts w:hint="eastAsia" w:cs="Times New Roman"/>
          <w:kern w:val="2"/>
          <w:sz w:val="24"/>
          <w:szCs w:val="24"/>
          <w:lang w:val="zh-CN" w:eastAsia="zh-CN" w:bidi="ar-SA"/>
        </w:rPr>
        <w:t>占地面积</w:t>
      </w:r>
      <w:r>
        <w:rPr>
          <w:rFonts w:hint="eastAsia" w:cs="Times New Roman"/>
          <w:kern w:val="2"/>
          <w:sz w:val="24"/>
          <w:szCs w:val="24"/>
          <w:lang w:val="en-US" w:eastAsia="zh-CN" w:bidi="ar-SA"/>
        </w:rPr>
        <w:t>0.2</w:t>
      </w:r>
      <w:r>
        <w:rPr>
          <w:rFonts w:hint="eastAsia" w:eastAsia="宋体" w:cs="Times New Roman"/>
          <w:kern w:val="2"/>
          <w:sz w:val="24"/>
          <w:szCs w:val="24"/>
          <w:lang w:val="en-US" w:eastAsia="zh-CN" w:bidi="ar-SA"/>
        </w:rPr>
        <w:t>hm</w:t>
      </w:r>
      <w:r>
        <w:rPr>
          <w:rFonts w:hint="eastAsia" w:eastAsia="宋体" w:cs="Times New Roman"/>
          <w:kern w:val="2"/>
          <w:sz w:val="24"/>
          <w:szCs w:val="24"/>
          <w:vertAlign w:val="superscript"/>
          <w:lang w:val="en-US" w:eastAsia="zh-CN" w:bidi="ar-SA"/>
        </w:rPr>
        <w:t>2</w:t>
      </w:r>
      <w:r>
        <w:rPr>
          <w:rFonts w:hint="eastAsia" w:eastAsia="宋体" w:cs="Times New Roman"/>
          <w:kern w:val="2"/>
          <w:sz w:val="24"/>
          <w:szCs w:val="24"/>
          <w:lang w:val="en-US" w:eastAsia="zh-CN" w:bidi="ar-SA"/>
        </w:rPr>
        <w:t>，</w:t>
      </w:r>
      <w:r>
        <w:rPr>
          <w:rFonts w:hint="eastAsia"/>
          <w:snapToGrid w:val="0"/>
          <w:kern w:val="0"/>
          <w:lang w:val="en-US" w:eastAsia="zh-CN"/>
        </w:rPr>
        <w:t>均为永久占地，占地类型为工业用地，场地雨水通过地表漫流到工业场地雨水收集池内，现有绿化措施0.01hm</w:t>
      </w:r>
      <w:r>
        <w:rPr>
          <w:rFonts w:hint="eastAsia"/>
          <w:snapToGrid w:val="0"/>
          <w:kern w:val="0"/>
          <w:vertAlign w:val="superscript"/>
          <w:lang w:val="en-US" w:eastAsia="zh-CN"/>
        </w:rPr>
        <w:t>2</w:t>
      </w:r>
      <w:r>
        <w:rPr>
          <w:rFonts w:hint="eastAsia"/>
          <w:snapToGrid w:val="0"/>
          <w:kern w:val="0"/>
          <w:lang w:val="en-US" w:eastAsia="zh-CN"/>
        </w:rPr>
        <w:t>。办公生活区满足水土保持要求，无需新增水保措施。</w:t>
      </w:r>
    </w:p>
    <w:p>
      <w:pPr>
        <w:pStyle w:val="43"/>
        <w:ind w:firstLine="480"/>
        <w:rPr>
          <w:rFonts w:hint="eastAsia"/>
          <w:lang w:eastAsia="zh-CN"/>
        </w:rPr>
      </w:pPr>
      <w:r>
        <w:rPr>
          <w:rFonts w:hint="eastAsia"/>
          <w:snapToGrid w:val="0"/>
          <w:kern w:val="0"/>
          <w:lang w:val="en-US" w:eastAsia="zh-CN"/>
        </w:rPr>
        <w:t>输电线路：项目</w:t>
      </w:r>
      <w:r>
        <w:rPr>
          <w:rFonts w:hint="eastAsia" w:eastAsia="宋体" w:cs="Times New Roman"/>
          <w:snapToGrid w:val="0"/>
          <w:kern w:val="0"/>
          <w:szCs w:val="24"/>
          <w:lang w:val="en-US" w:eastAsia="zh-CN"/>
        </w:rPr>
        <w:t>用电</w:t>
      </w:r>
      <w:r>
        <w:rPr>
          <w:rFonts w:hint="eastAsia"/>
          <w:lang w:eastAsia="zh-CN"/>
        </w:rPr>
        <w:t>从乐昌镇变电站供电</w:t>
      </w:r>
      <w:r>
        <w:rPr>
          <w:rFonts w:hint="eastAsia"/>
          <w:lang w:val="en-US" w:eastAsia="zh-CN"/>
        </w:rPr>
        <w:t>110kv线路</w:t>
      </w:r>
      <w:r>
        <w:rPr>
          <w:rFonts w:hint="eastAsia"/>
          <w:lang w:eastAsia="zh-CN"/>
        </w:rPr>
        <w:t>接入工业场地变电箱，项目输电线路总长</w:t>
      </w:r>
      <w:r>
        <w:rPr>
          <w:rFonts w:hint="eastAsia"/>
          <w:lang w:val="en-US" w:eastAsia="zh-CN"/>
        </w:rPr>
        <w:t>200</w:t>
      </w:r>
      <w:r>
        <w:rPr>
          <w:rFonts w:hint="eastAsia"/>
          <w:lang w:eastAsia="zh-CN"/>
        </w:rPr>
        <w:t>m，线路架设完成多年，架设时扰动的地面均已恢复植被，占地0.01hm</w:t>
      </w:r>
      <w:r>
        <w:rPr>
          <w:rFonts w:hint="eastAsia"/>
          <w:vertAlign w:val="superscript"/>
          <w:lang w:eastAsia="zh-CN"/>
        </w:rPr>
        <w:t>2</w:t>
      </w:r>
      <w:r>
        <w:rPr>
          <w:rFonts w:hint="eastAsia"/>
          <w:lang w:eastAsia="zh-CN"/>
        </w:rPr>
        <w:t>。</w:t>
      </w:r>
    </w:p>
    <w:p>
      <w:pPr>
        <w:autoSpaceDE w:val="0"/>
        <w:autoSpaceDN w:val="0"/>
        <w:spacing w:before="156" w:beforeLines="50"/>
        <w:jc w:val="center"/>
        <w:rPr>
          <w:rFonts w:hint="eastAsia" w:ascii="Times New Roman" w:hAnsi="Times New Roman" w:eastAsia="仿宋_GB2312"/>
          <w:b/>
          <w:sz w:val="24"/>
          <w:lang w:eastAsia="zh-CN"/>
        </w:rPr>
      </w:pPr>
      <w:r>
        <w:rPr>
          <w:rFonts w:ascii="Times New Roman" w:hAnsi="Times New Roman" w:eastAsia="仿宋_GB2312"/>
          <w:b/>
          <w:sz w:val="24"/>
        </w:rPr>
        <w:t>表</w:t>
      </w:r>
      <w:r>
        <w:rPr>
          <w:rFonts w:hint="eastAsia" w:eastAsia="仿宋_GB2312"/>
          <w:b/>
          <w:sz w:val="24"/>
          <w:lang w:val="en-US" w:eastAsia="zh-CN"/>
        </w:rPr>
        <w:t>1</w:t>
      </w:r>
      <w:r>
        <w:rPr>
          <w:rFonts w:ascii="Times New Roman" w:hAnsi="Times New Roman" w:eastAsia="仿宋_GB2312"/>
          <w:b/>
          <w:sz w:val="24"/>
        </w:rPr>
        <w:t>-</w:t>
      </w:r>
      <w:r>
        <w:rPr>
          <w:rFonts w:hint="eastAsia" w:eastAsia="仿宋_GB2312"/>
          <w:b/>
          <w:sz w:val="24"/>
          <w:lang w:val="en-US" w:eastAsia="zh-CN"/>
        </w:rPr>
        <w:t>1</w:t>
      </w:r>
      <w:r>
        <w:rPr>
          <w:rFonts w:ascii="Times New Roman" w:hAnsi="Times New Roman" w:eastAsia="仿宋_GB2312"/>
          <w:b/>
          <w:sz w:val="24"/>
        </w:rPr>
        <w:t xml:space="preserve">  工程占地情况</w:t>
      </w:r>
      <w:r>
        <w:rPr>
          <w:rFonts w:hint="eastAsia" w:eastAsia="仿宋_GB2312"/>
          <w:b/>
          <w:sz w:val="24"/>
          <w:lang w:eastAsia="zh-CN"/>
        </w:rPr>
        <w:t>及防治责任范围统计</w:t>
      </w:r>
      <w:r>
        <w:rPr>
          <w:rFonts w:ascii="Times New Roman" w:hAnsi="Times New Roman" w:eastAsia="仿宋_GB2312"/>
          <w:b/>
          <w:sz w:val="24"/>
        </w:rPr>
        <w:t>表</w:t>
      </w:r>
      <w:r>
        <w:rPr>
          <w:rFonts w:hint="eastAsia" w:ascii="Times New Roman" w:hAnsi="Times New Roman" w:eastAsia="仿宋_GB2312"/>
          <w:b/>
          <w:sz w:val="24"/>
          <w:lang w:val="en-US" w:eastAsia="zh-CN"/>
        </w:rPr>
        <w:t xml:space="preserve">     </w:t>
      </w:r>
      <w:r>
        <w:rPr>
          <w:rFonts w:ascii="Times New Roman" w:hAnsi="Times New Roman" w:eastAsia="仿宋_GB2312"/>
          <w:b/>
          <w:sz w:val="24"/>
        </w:rPr>
        <w:t>单位：</w:t>
      </w:r>
      <w:r>
        <w:rPr>
          <w:rFonts w:hint="eastAsia" w:ascii="Times New Roman" w:hAnsi="Times New Roman" w:eastAsia="仿宋_GB2312"/>
          <w:b/>
          <w:sz w:val="24"/>
          <w:lang w:val="en-US" w:eastAsia="zh-CN"/>
        </w:rPr>
        <w:t>h</w:t>
      </w:r>
      <w:r>
        <w:rPr>
          <w:rFonts w:ascii="Times New Roman" w:hAnsi="Times New Roman" w:eastAsia="仿宋_GB2312"/>
          <w:b/>
          <w:sz w:val="24"/>
        </w:rPr>
        <w:t>m</w:t>
      </w:r>
      <w:r>
        <w:rPr>
          <w:rFonts w:hint="eastAsia" w:ascii="Times New Roman" w:hAnsi="Times New Roman" w:eastAsia="仿宋_GB2312"/>
          <w:b/>
          <w:sz w:val="24"/>
          <w:vertAlign w:val="superscript"/>
          <w:lang w:val="en-US" w:eastAsia="zh-CN"/>
        </w:rPr>
        <w:t>2</w:t>
      </w:r>
    </w:p>
    <w:tbl>
      <w:tblPr>
        <w:tblStyle w:val="24"/>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2183"/>
        <w:gridCol w:w="201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lang w:val="en-US"/>
              </w:rPr>
            </w:pPr>
            <w:r>
              <w:rPr>
                <w:rFonts w:hint="eastAsia" w:ascii="仿宋_GB2312" w:hAnsi="宋体" w:eastAsia="仿宋_GB2312" w:cs="仿宋_GB2312"/>
                <w:i w:val="0"/>
                <w:color w:val="000000"/>
                <w:kern w:val="0"/>
                <w:sz w:val="21"/>
                <w:szCs w:val="21"/>
                <w:u w:val="none"/>
                <w:lang w:val="en-US" w:eastAsia="zh-CN" w:bidi="ar"/>
              </w:rPr>
              <w:t>占地类型/防治责任范围</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永久占地</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临时占地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1.51</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办公生活区</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0.2</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lang w:val="en-US" w:eastAsia="zh-CN"/>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21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1.72</w:t>
            </w:r>
          </w:p>
        </w:tc>
        <w:tc>
          <w:tcPr>
            <w:tcW w:w="20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1.72</w:t>
            </w:r>
          </w:p>
        </w:tc>
      </w:tr>
    </w:tbl>
    <w:p>
      <w:pPr>
        <w:wordWrap w:val="0"/>
        <w:spacing w:before="156" w:beforeLines="50"/>
        <w:jc w:val="center"/>
        <w:rPr>
          <w:rFonts w:ascii="Times New Roman" w:hAnsi="Times New Roman" w:eastAsia="仿宋_GB2312"/>
          <w:b/>
          <w:sz w:val="24"/>
        </w:rPr>
      </w:pPr>
      <w:r>
        <w:rPr>
          <w:rFonts w:ascii="Times New Roman" w:hAnsi="Times New Roman" w:eastAsia="仿宋_GB2312"/>
          <w:b/>
          <w:sz w:val="24"/>
        </w:rPr>
        <w:t>表</w:t>
      </w:r>
      <w:r>
        <w:rPr>
          <w:rFonts w:hint="eastAsia" w:ascii="Times New Roman" w:hAnsi="Times New Roman" w:eastAsia="仿宋_GB2312"/>
          <w:b/>
          <w:sz w:val="24"/>
          <w:lang w:val="en-US" w:eastAsia="zh-CN"/>
        </w:rPr>
        <w:t>1-2</w:t>
      </w:r>
      <w:r>
        <w:rPr>
          <w:rFonts w:ascii="Times New Roman" w:hAnsi="Times New Roman" w:eastAsia="仿宋_GB2312"/>
          <w:b/>
          <w:sz w:val="24"/>
        </w:rPr>
        <w:t xml:space="preserve">  项目土石方平衡表               单位：万m</w:t>
      </w:r>
      <w:r>
        <w:rPr>
          <w:rFonts w:ascii="Times New Roman" w:hAnsi="Times New Roman" w:eastAsia="仿宋_GB2312"/>
          <w:b/>
          <w:sz w:val="24"/>
          <w:vertAlign w:val="superscript"/>
        </w:rPr>
        <w:t>3</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397"/>
        <w:gridCol w:w="841"/>
        <w:gridCol w:w="840"/>
        <w:gridCol w:w="910"/>
        <w:gridCol w:w="1810"/>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序号</w:t>
            </w:r>
          </w:p>
        </w:tc>
        <w:tc>
          <w:tcPr>
            <w:tcW w:w="1397"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项目区</w:t>
            </w:r>
          </w:p>
        </w:tc>
        <w:tc>
          <w:tcPr>
            <w:tcW w:w="841"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开挖</w:t>
            </w:r>
          </w:p>
        </w:tc>
        <w:tc>
          <w:tcPr>
            <w:tcW w:w="910" w:type="dxa"/>
            <w:vMerge w:val="restart"/>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土方</w:t>
            </w:r>
          </w:p>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回填</w:t>
            </w:r>
          </w:p>
        </w:tc>
        <w:tc>
          <w:tcPr>
            <w:tcW w:w="3693"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调入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397"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1"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84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vMerge w:val="continue"/>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数量</w:t>
            </w: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工业场地</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1.12</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0.56</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0.56</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办公生活区</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0.06</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0.03</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0.03</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3</w:t>
            </w:r>
          </w:p>
        </w:tc>
        <w:tc>
          <w:tcPr>
            <w:tcW w:w="1397"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0.02</w:t>
            </w:r>
          </w:p>
        </w:tc>
        <w:tc>
          <w:tcPr>
            <w:tcW w:w="84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910"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38" w:type="dxa"/>
            <w:gridSpan w:val="2"/>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841" w:type="dxa"/>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1.2</w:t>
            </w:r>
          </w:p>
        </w:tc>
        <w:tc>
          <w:tcPr>
            <w:tcW w:w="84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9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10"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1883" w:type="dxa"/>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bl>
    <w:p>
      <w:pPr>
        <w:pStyle w:val="2"/>
        <w:ind w:left="0" w:leftChars="0" w:firstLine="0" w:firstLineChars="0"/>
        <w:rPr>
          <w:rFonts w:hint="default"/>
          <w:lang w:val="en-US" w:eastAsia="zh-CN"/>
        </w:rPr>
      </w:pPr>
    </w:p>
    <w:p>
      <w:pPr>
        <w:spacing w:line="500" w:lineRule="exact"/>
        <w:rPr>
          <w:rFonts w:hint="eastAsia"/>
          <w:b/>
          <w:bCs/>
          <w:snapToGrid w:val="0"/>
          <w:kern w:val="0"/>
          <w:lang w:val="en-US" w:eastAsia="zh-CN"/>
        </w:rPr>
      </w:pPr>
      <w:r>
        <w:rPr>
          <w:rFonts w:hint="eastAsia"/>
          <w:b/>
          <w:bCs/>
          <w:snapToGrid w:val="0"/>
          <w:kern w:val="0"/>
          <w:lang w:val="en-US" w:eastAsia="zh-CN"/>
        </w:rPr>
        <w:t>1.3生产工艺</w:t>
      </w:r>
    </w:p>
    <w:p>
      <w:pPr>
        <w:pStyle w:val="43"/>
        <w:ind w:firstLine="480"/>
        <w:rPr>
          <w:rFonts w:hint="eastAsia"/>
          <w:lang w:eastAsia="zh-CN"/>
        </w:rPr>
      </w:pPr>
      <w:r>
        <w:rPr>
          <w:rFonts w:hint="eastAsia"/>
          <w:lang w:eastAsia="zh-CN"/>
        </w:rPr>
        <w:t>本项目采用一段球磨+二段磁选+尾矿浓缩压滤生产工艺。</w:t>
      </w:r>
    </w:p>
    <w:p>
      <w:pPr>
        <w:pStyle w:val="43"/>
        <w:ind w:firstLine="480"/>
        <w:rPr>
          <w:rFonts w:hint="eastAsia"/>
          <w:lang w:eastAsia="zh-CN"/>
        </w:rPr>
      </w:pPr>
      <w:r>
        <w:rPr>
          <w:rFonts w:hint="eastAsia"/>
          <w:lang w:eastAsia="zh-CN"/>
        </w:rPr>
        <w:t>磨矿与选精矿：原料库内的精矿粉由皮带机经圆盘给料机进入湿式球磨机进行磨矿，经螺旋分级机粗矿粒返回球磨机重新球磨，合格矿浆进入一段磁选、二段磁选，选出的铁粉经压滤脱水后送入产品库。</w:t>
      </w:r>
    </w:p>
    <w:p>
      <w:pPr>
        <w:pStyle w:val="43"/>
        <w:ind w:firstLine="480"/>
        <w:rPr>
          <w:rFonts w:hint="eastAsia"/>
          <w:lang w:eastAsia="zh-CN"/>
        </w:rPr>
      </w:pPr>
      <w:r>
        <w:rPr>
          <w:rFonts w:hint="eastAsia"/>
          <w:lang w:eastAsia="zh-CN"/>
        </w:rPr>
        <w:t>尾选：来自一段磁选、二段磁选的尾矿浆进入浓缩机，浓缩机清水溢流返回循环水池，底泥进入压滤机进行压滤脱水，滤液返回循环水池，滤饼为尾矿，统一进行外售。</w:t>
      </w:r>
    </w:p>
    <w:p>
      <w:pPr>
        <w:pStyle w:val="37"/>
      </w:pPr>
      <w:bookmarkStart w:id="7" w:name="_Toc485124293"/>
      <w:bookmarkStart w:id="8" w:name="_Toc510511013"/>
      <w:bookmarkStart w:id="9" w:name="_Toc1117820"/>
      <w:bookmarkStart w:id="10" w:name="_Toc501443568"/>
      <w:r>
        <w:t>2</w:t>
      </w:r>
      <w:r>
        <w:rPr>
          <w:rFonts w:hint="eastAsia"/>
        </w:rPr>
        <w:t>项目区概况</w:t>
      </w:r>
      <w:bookmarkEnd w:id="7"/>
      <w:bookmarkEnd w:id="8"/>
      <w:bookmarkEnd w:id="9"/>
      <w:bookmarkEnd w:id="10"/>
    </w:p>
    <w:p>
      <w:pPr>
        <w:pStyle w:val="40"/>
        <w:ind w:firstLine="480"/>
        <w:rPr>
          <w:rFonts w:hint="eastAsia"/>
          <w:snapToGrid w:val="0"/>
          <w:kern w:val="0"/>
          <w:lang w:eastAsia="zh-CN"/>
        </w:rPr>
      </w:pPr>
      <w:r>
        <w:rPr>
          <w:rFonts w:hint="eastAsia"/>
          <w:snapToGrid w:val="0"/>
          <w:kern w:val="0"/>
          <w:lang w:eastAsia="zh-CN"/>
        </w:rPr>
        <w:t>曲沃县位于山西省临汾盆地南端，侯马断陷盆地东部，为两山夹一盆地的地形单元，盆地呈东西向展布，大部分为冲积平原。地理坐标：北纬 35°33′～35° 51′，东经 111°24′～111°37′。北依塔儿山（崇山）、乔山、垆顶山和襄汾 县为界，南靠紫金山（绛山）同绛县毗邻，东与翼城县接壤，西北隔汾河和襄汾 县相望，西南与侯马市毗连。县境南北长 28.5km，东西宽 15.4km，总面积 437.9km2。</w:t>
      </w:r>
    </w:p>
    <w:p>
      <w:pPr>
        <w:pStyle w:val="40"/>
        <w:ind w:firstLine="480"/>
        <w:rPr>
          <w:rFonts w:hint="eastAsia"/>
          <w:snapToGrid w:val="0"/>
          <w:kern w:val="0"/>
          <w:lang w:eastAsia="zh-CN"/>
        </w:rPr>
      </w:pPr>
      <w:r>
        <w:rPr>
          <w:rFonts w:hint="eastAsia"/>
          <w:snapToGrid w:val="0"/>
          <w:kern w:val="0"/>
          <w:lang w:eastAsia="zh-CN"/>
        </w:rPr>
        <w:t>曲沃县全县地貌可分为三个区：土石山区、丘陵阶地区、冲积平原区。其中，北部自东向西有太岳山余脉塔儿山、乔山、垆顶山三峰，山峦重叠。塔儿山海拔 1491.6m，为全县最高点。南部有中条山支脉紫金山东西蜿蜒。南端和北端，岩石 裸露，地势陡峭，植被稀少，为土石山区；县中部为滏河、浍河流域及太子滩冲 积平原，地面坡度 3°左右，海拔 400-500m，地势平坦，均壑稀少，是全县粮、 棉主要产区。项目位于冲积平原区。</w:t>
      </w:r>
    </w:p>
    <w:p>
      <w:pPr>
        <w:pStyle w:val="40"/>
        <w:ind w:firstLine="480"/>
        <w:rPr>
          <w:rFonts w:hint="default" w:eastAsia="宋体"/>
          <w:snapToGrid w:val="0"/>
          <w:kern w:val="0"/>
          <w:lang w:val="en-US" w:eastAsia="zh-CN"/>
        </w:rPr>
      </w:pPr>
      <w:r>
        <w:rPr>
          <w:rFonts w:hint="default" w:eastAsia="宋体"/>
          <w:snapToGrid w:val="0"/>
          <w:kern w:val="0"/>
          <w:lang w:val="en-US" w:eastAsia="zh-CN"/>
        </w:rPr>
        <w:t>曲沃县境内河流有汾河、浍河、滏河及浍河支流黑河、天河，浍河、滏河均由东向西汇入汾河，属黄河流域汾河水系。</w:t>
      </w:r>
    </w:p>
    <w:p>
      <w:pPr>
        <w:pStyle w:val="40"/>
        <w:ind w:firstLine="480"/>
        <w:rPr>
          <w:rFonts w:hint="default" w:eastAsia="宋体"/>
          <w:snapToGrid w:val="0"/>
          <w:kern w:val="0"/>
          <w:lang w:val="en-US" w:eastAsia="zh-CN"/>
        </w:rPr>
      </w:pPr>
      <w:r>
        <w:rPr>
          <w:rFonts w:hint="default" w:eastAsia="宋体"/>
          <w:snapToGrid w:val="0"/>
          <w:kern w:val="0"/>
          <w:lang w:val="en-US" w:eastAsia="zh-CN"/>
        </w:rPr>
        <w:t>汾河：汾河经襄汾县官滩村入境，从文敬、赵庄、北封王、地封土、高显、高阳、汾阴等村镇向西流入侯马境，境内流程 9.85km，河床纵坡 0.36～0.4‰，平均年径流量 8.37亿m</w:t>
      </w:r>
      <w:r>
        <w:rPr>
          <w:rFonts w:hint="default" w:eastAsia="宋体"/>
          <w:snapToGrid w:val="0"/>
          <w:kern w:val="0"/>
          <w:vertAlign w:val="superscript"/>
          <w:lang w:val="en-US" w:eastAsia="zh-CN"/>
        </w:rPr>
        <w:t xml:space="preserve"> 3</w:t>
      </w:r>
      <w:r>
        <w:rPr>
          <w:rFonts w:hint="default" w:eastAsia="宋体"/>
          <w:snapToGrid w:val="0"/>
          <w:kern w:val="0"/>
          <w:lang w:val="en-US" w:eastAsia="zh-CN"/>
        </w:rPr>
        <w:t>。</w:t>
      </w:r>
    </w:p>
    <w:p>
      <w:pPr>
        <w:pStyle w:val="40"/>
        <w:ind w:firstLine="480"/>
        <w:rPr>
          <w:rFonts w:hint="default" w:eastAsia="宋体"/>
          <w:snapToGrid w:val="0"/>
          <w:kern w:val="0"/>
          <w:lang w:val="en-US" w:eastAsia="zh-CN"/>
        </w:rPr>
      </w:pPr>
      <w:r>
        <w:rPr>
          <w:rFonts w:hint="default" w:eastAsia="宋体"/>
          <w:snapToGrid w:val="0"/>
          <w:kern w:val="0"/>
          <w:lang w:val="en-US" w:eastAsia="zh-CN"/>
        </w:rPr>
        <w:t>浍河：浍河是横穿县境东西一条主要河流，从县内贺村入境，流经平乐、卫范、吉庄、东吉必、西吉必、东周、王村、北董、盈村、常村、望绛、上裴庄、下裴庄、交里、堡河、南吉、安吉、东韩入侯马境；如今在浍河上游西吉必、东周村之间建有浍河水库，距县城 8km，在下游侯马境内建有浍河二库。</w:t>
      </w:r>
    </w:p>
    <w:p>
      <w:pPr>
        <w:pStyle w:val="40"/>
        <w:ind w:firstLine="480"/>
        <w:rPr>
          <w:rFonts w:hint="default" w:eastAsia="宋体"/>
          <w:snapToGrid w:val="0"/>
          <w:kern w:val="0"/>
          <w:lang w:val="en-US" w:eastAsia="zh-CN"/>
        </w:rPr>
      </w:pPr>
      <w:r>
        <w:rPr>
          <w:rFonts w:hint="default" w:eastAsia="宋体"/>
          <w:snapToGrid w:val="0"/>
          <w:kern w:val="0"/>
          <w:lang w:val="en-US" w:eastAsia="zh-CN"/>
        </w:rPr>
        <w:t>滏河：滏河发源于翼城县里砦乡马尾山，从县内南韩村入境与温泉水合流，旧称合水。经王村、焦庄、毛张、吉许、郇村、阎家村、丰润沟、靳庄沟、新建、安泉、北辛村、郑村、辛村屯、北白集、朝阳、南辛庄、高显北沟、南封王、北封王注入汾河。境内流程 15.8km，流域面积 199.5km</w:t>
      </w:r>
      <w:r>
        <w:rPr>
          <w:rFonts w:hint="default" w:eastAsia="宋体"/>
          <w:snapToGrid w:val="0"/>
          <w:kern w:val="0"/>
          <w:vertAlign w:val="superscript"/>
          <w:lang w:val="en-US" w:eastAsia="zh-CN"/>
        </w:rPr>
        <w:t>2</w:t>
      </w:r>
      <w:r>
        <w:rPr>
          <w:rFonts w:hint="default" w:eastAsia="宋体"/>
          <w:snapToGrid w:val="0"/>
          <w:kern w:val="0"/>
          <w:lang w:val="en-US" w:eastAsia="zh-CN"/>
        </w:rPr>
        <w:t>。河床纵坡 8‰。1996 年滏河水库建成后，滏河成为季节性河流。</w:t>
      </w:r>
    </w:p>
    <w:p>
      <w:pPr>
        <w:pStyle w:val="40"/>
        <w:ind w:firstLine="480"/>
        <w:rPr>
          <w:rFonts w:hint="default" w:eastAsia="宋体"/>
          <w:snapToGrid w:val="0"/>
          <w:kern w:val="0"/>
          <w:lang w:val="en-US" w:eastAsia="zh-CN"/>
        </w:rPr>
      </w:pPr>
      <w:r>
        <w:rPr>
          <w:rFonts w:hint="default" w:eastAsia="宋体"/>
          <w:snapToGrid w:val="0"/>
          <w:kern w:val="0"/>
          <w:lang w:val="en-US" w:eastAsia="zh-CN"/>
        </w:rPr>
        <w:t>黑河：源于绛县，从县南属寺流入，后汇入浍河。流程 10km，流域面积28.9km</w:t>
      </w:r>
      <w:r>
        <w:rPr>
          <w:rFonts w:hint="default" w:eastAsia="宋体"/>
          <w:snapToGrid w:val="0"/>
          <w:kern w:val="0"/>
          <w:vertAlign w:val="superscript"/>
          <w:lang w:val="en-US" w:eastAsia="zh-CN"/>
        </w:rPr>
        <w:t>2</w:t>
      </w:r>
      <w:r>
        <w:rPr>
          <w:rFonts w:hint="default" w:eastAsia="宋体"/>
          <w:snapToGrid w:val="0"/>
          <w:kern w:val="0"/>
          <w:lang w:val="en-US" w:eastAsia="zh-CN"/>
        </w:rPr>
        <w:t>。河床纵坡 10‰，常年清水流量 0.1m</w:t>
      </w:r>
      <w:r>
        <w:rPr>
          <w:rFonts w:hint="default" w:eastAsia="宋体"/>
          <w:snapToGrid w:val="0"/>
          <w:kern w:val="0"/>
          <w:vertAlign w:val="superscript"/>
          <w:lang w:val="en-US" w:eastAsia="zh-CN"/>
        </w:rPr>
        <w:t>3</w:t>
      </w:r>
      <w:r>
        <w:rPr>
          <w:rFonts w:hint="default" w:eastAsia="宋体"/>
          <w:snapToGrid w:val="0"/>
          <w:kern w:val="0"/>
          <w:lang w:val="en-US" w:eastAsia="zh-CN"/>
        </w:rPr>
        <w:t xml:space="preserve"> /s。</w:t>
      </w:r>
    </w:p>
    <w:p>
      <w:pPr>
        <w:pStyle w:val="40"/>
        <w:ind w:firstLine="480"/>
        <w:rPr>
          <w:rFonts w:hint="default" w:eastAsia="宋体"/>
          <w:snapToGrid w:val="0"/>
          <w:kern w:val="0"/>
          <w:lang w:val="en-US" w:eastAsia="zh-CN"/>
        </w:rPr>
      </w:pPr>
      <w:r>
        <w:rPr>
          <w:rFonts w:hint="default" w:eastAsia="宋体"/>
          <w:snapToGrid w:val="0"/>
          <w:kern w:val="0"/>
          <w:lang w:val="en-US" w:eastAsia="zh-CN"/>
        </w:rPr>
        <w:t>天河：古称绛水，汇沸泉、龙底泉等水而成。至西周和黑河合流。流程 9.5km，流域面积 18km</w:t>
      </w:r>
      <w:r>
        <w:rPr>
          <w:rFonts w:hint="default" w:eastAsia="宋体"/>
          <w:snapToGrid w:val="0"/>
          <w:kern w:val="0"/>
          <w:vertAlign w:val="superscript"/>
          <w:lang w:val="en-US" w:eastAsia="zh-CN"/>
        </w:rPr>
        <w:t xml:space="preserve"> 2</w:t>
      </w:r>
      <w:r>
        <w:rPr>
          <w:rFonts w:hint="default" w:eastAsia="宋体"/>
          <w:snapToGrid w:val="0"/>
          <w:kern w:val="0"/>
          <w:lang w:val="en-US" w:eastAsia="zh-CN"/>
        </w:rPr>
        <w:t>。河床宽 15m 左右，清水流量 0.03～0.55m3/s。</w:t>
      </w:r>
    </w:p>
    <w:p>
      <w:pPr>
        <w:pStyle w:val="40"/>
        <w:ind w:firstLine="480"/>
        <w:rPr>
          <w:rFonts w:hint="eastAsia"/>
          <w:snapToGrid w:val="0"/>
          <w:kern w:val="0"/>
        </w:rPr>
      </w:pPr>
      <w:r>
        <w:rPr>
          <w:rFonts w:hint="eastAsia"/>
          <w:snapToGrid w:val="0"/>
          <w:kern w:val="0"/>
        </w:rPr>
        <w:t>本项目厂址</w:t>
      </w:r>
      <w:r>
        <w:rPr>
          <w:rFonts w:hint="eastAsia"/>
          <w:snapToGrid w:val="0"/>
          <w:kern w:val="0"/>
          <w:lang w:eastAsia="zh-CN"/>
        </w:rPr>
        <w:t>西</w:t>
      </w:r>
      <w:r>
        <w:rPr>
          <w:rFonts w:hint="eastAsia"/>
          <w:snapToGrid w:val="0"/>
          <w:kern w:val="0"/>
        </w:rPr>
        <w:t>距汾河为</w:t>
      </w:r>
      <w:r>
        <w:rPr>
          <w:rFonts w:hint="eastAsia"/>
          <w:snapToGrid w:val="0"/>
          <w:kern w:val="0"/>
          <w:lang w:val="en-US" w:eastAsia="zh-CN"/>
        </w:rPr>
        <w:t>13.15</w:t>
      </w:r>
      <w:r>
        <w:rPr>
          <w:rFonts w:hint="eastAsia"/>
          <w:snapToGrid w:val="0"/>
          <w:kern w:val="0"/>
        </w:rPr>
        <w:t>km。</w:t>
      </w:r>
    </w:p>
    <w:p>
      <w:pPr>
        <w:pStyle w:val="40"/>
        <w:ind w:firstLine="480"/>
        <w:rPr>
          <w:rFonts w:hint="eastAsia"/>
          <w:snapToGrid w:val="0"/>
          <w:kern w:val="0"/>
        </w:rPr>
      </w:pPr>
      <w:r>
        <w:rPr>
          <w:rFonts w:hint="eastAsia"/>
          <w:snapToGrid w:val="0"/>
          <w:kern w:val="0"/>
        </w:rPr>
        <w:t>据曲沃县气象站观测资料：曲沃县属暖温带大陆性季风气候，受季风影响，一年内四季分明，春温、夏热、秋凉、冬冷。曲沃县年均气温为 12.6℃，一月份 最冷平均气温－2.6℃，极端最低－22.0℃；七月份最热，平均气温 26.2℃，极端 最高气温 40.8℃。正常情况下十月下旬本县最低温度降至 0℃以下，次年四月上旬 升至 0℃以上。年平均降水量为 501.0mm，年季变化较大，最多年 946.9mm，最少 年 226.0mm。主要降水集中于 7－9 月份。按四季划分：夏季最多占 44.5％；秋季次之占 30.9％；春季较少占 19.9％；冬季最少占 4.7％。</w:t>
      </w:r>
    </w:p>
    <w:p>
      <w:pPr>
        <w:pStyle w:val="40"/>
        <w:ind w:firstLine="480"/>
        <w:rPr>
          <w:rFonts w:hint="eastAsia"/>
          <w:snapToGrid w:val="0"/>
          <w:kern w:val="0"/>
        </w:rPr>
      </w:pPr>
      <w:r>
        <w:rPr>
          <w:rFonts w:hint="eastAsia"/>
          <w:snapToGrid w:val="0"/>
          <w:kern w:val="0"/>
        </w:rPr>
        <w:t xml:space="preserve">曲沃县冬春两季多风，春季东南风偏多，冬季西北风偏多，全年及各季主导风向为 ESE 风，多年平均风速为 1.8m/s。 </w:t>
      </w:r>
    </w:p>
    <w:p>
      <w:pPr>
        <w:pStyle w:val="40"/>
        <w:ind w:firstLine="480"/>
        <w:rPr>
          <w:rFonts w:hint="eastAsia"/>
          <w:bCs w:val="0"/>
        </w:rPr>
      </w:pPr>
      <w:r>
        <w:rPr>
          <w:rFonts w:hint="eastAsia"/>
          <w:bCs w:val="0"/>
        </w:rPr>
        <w:t>曲沃县是以粮食为主的农业县，全县土壤分4个土类、10个亚类、15个土属，42个土种。评价区土壤类型主要为褐土中的碳酸盐褐土。</w:t>
      </w:r>
    </w:p>
    <w:p>
      <w:pPr>
        <w:pStyle w:val="40"/>
        <w:ind w:firstLine="480"/>
        <w:rPr>
          <w:bCs w:val="0"/>
        </w:rPr>
      </w:pPr>
      <w:r>
        <w:rPr>
          <w:rFonts w:hint="eastAsia"/>
          <w:bCs w:val="0"/>
        </w:rPr>
        <w:t>根据《山西省土壤侵蚀分区图》，项目区属于</w:t>
      </w:r>
      <w:r>
        <w:rPr>
          <w:rFonts w:hint="eastAsia"/>
          <w:bCs w:val="0"/>
          <w:lang w:eastAsia="zh-CN"/>
        </w:rPr>
        <w:t>冲击平原区</w:t>
      </w:r>
      <w:r>
        <w:rPr>
          <w:rFonts w:hint="eastAsia"/>
          <w:bCs w:val="0"/>
        </w:rPr>
        <w:t>，属水力侵蚀区，土壤容许流失量为1000t/（km</w:t>
      </w:r>
      <w:r>
        <w:rPr>
          <w:rFonts w:hint="eastAsia"/>
          <w:bCs w:val="0"/>
          <w:vertAlign w:val="superscript"/>
        </w:rPr>
        <w:t>2</w:t>
      </w:r>
      <w:r>
        <w:rPr>
          <w:rFonts w:hint="eastAsia"/>
          <w:bCs w:val="0"/>
        </w:rPr>
        <w:t>.a）。项目区属于省级水土流失</w:t>
      </w:r>
      <w:r>
        <w:rPr>
          <w:rFonts w:hint="eastAsia"/>
          <w:bCs w:val="0"/>
          <w:lang w:eastAsia="zh-CN"/>
        </w:rPr>
        <w:t>重点</w:t>
      </w:r>
      <w:r>
        <w:rPr>
          <w:rFonts w:hint="eastAsia"/>
          <w:bCs w:val="0"/>
        </w:rPr>
        <w:t>预防保护区。</w:t>
      </w:r>
    </w:p>
    <w:p>
      <w:pPr>
        <w:pStyle w:val="37"/>
      </w:pPr>
      <w:r>
        <w:rPr>
          <w:rFonts w:hint="eastAsia"/>
        </w:rPr>
        <w:t>3项目选址（线）水土保持评价</w:t>
      </w:r>
    </w:p>
    <w:p>
      <w:pPr>
        <w:pStyle w:val="40"/>
        <w:ind w:firstLine="480"/>
      </w:pPr>
      <w:r>
        <w:rPr>
          <w:rFonts w:hint="eastAsia"/>
        </w:rPr>
        <w:t>根据《中华人民共和国水土保持法》和《生产建设项目水土保持技术标准GB50433-2018 》的有关规定，对工程建设的水土保持制约因素作了排查。</w:t>
      </w:r>
    </w:p>
    <w:p>
      <w:pPr>
        <w:pStyle w:val="40"/>
        <w:ind w:firstLine="480"/>
        <w:rPr>
          <w:rFonts w:hint="eastAsia"/>
          <w:bCs w:val="0"/>
          <w:snapToGrid w:val="0"/>
          <w:kern w:val="0"/>
        </w:rPr>
      </w:pPr>
      <w:r>
        <w:rPr>
          <w:rFonts w:hint="eastAsia"/>
          <w:bCs w:val="0"/>
          <w:snapToGrid w:val="0"/>
          <w:kern w:val="0"/>
        </w:rPr>
        <w:t>工程选址不属于河流两岸、湖泊和水库周边的植物保护带；不处于全国水土保持监测网络中的水土保持监测站点，重点试验区及国家确定的水土保持长期定位观测站；处于山西省</w:t>
      </w:r>
      <w:r>
        <w:rPr>
          <w:rFonts w:hint="eastAsia"/>
          <w:bCs w:val="0"/>
          <w:snapToGrid w:val="0"/>
          <w:kern w:val="0"/>
          <w:lang w:eastAsia="zh-CN"/>
        </w:rPr>
        <w:t>省</w:t>
      </w:r>
      <w:r>
        <w:rPr>
          <w:rFonts w:hint="eastAsia"/>
          <w:bCs w:val="0"/>
          <w:snapToGrid w:val="0"/>
          <w:kern w:val="0"/>
        </w:rPr>
        <w:t>级</w:t>
      </w:r>
      <w:r>
        <w:rPr>
          <w:rFonts w:hint="eastAsia"/>
          <w:bCs w:val="0"/>
        </w:rPr>
        <w:t>水土流失</w:t>
      </w:r>
      <w:r>
        <w:rPr>
          <w:rFonts w:hint="eastAsia"/>
          <w:bCs w:val="0"/>
          <w:lang w:eastAsia="zh-CN"/>
        </w:rPr>
        <w:t>重点</w:t>
      </w:r>
      <w:r>
        <w:rPr>
          <w:rFonts w:hint="eastAsia"/>
          <w:bCs w:val="0"/>
        </w:rPr>
        <w:t>预防保护区</w:t>
      </w:r>
      <w:r>
        <w:rPr>
          <w:rFonts w:hint="eastAsia"/>
          <w:bCs w:val="0"/>
          <w:snapToGrid w:val="0"/>
          <w:kern w:val="0"/>
        </w:rPr>
        <w:t>，可通过提高防治标准指标值，并加强水土保持措施，减轻工程建设水土流失影响。因此，从水土保持角度分析工程选址合理。</w:t>
      </w:r>
    </w:p>
    <w:p>
      <w:pPr>
        <w:pStyle w:val="40"/>
        <w:ind w:firstLine="480"/>
        <w:rPr>
          <w:rFonts w:hint="eastAsia"/>
          <w:bCs w:val="0"/>
          <w:snapToGrid w:val="0"/>
          <w:kern w:val="0"/>
        </w:rPr>
      </w:pPr>
      <w:r>
        <w:rPr>
          <w:rFonts w:hint="eastAsia"/>
          <w:bCs w:val="0"/>
          <w:snapToGrid w:val="0"/>
          <w:kern w:val="0"/>
        </w:rPr>
        <w:t>1、工程占地评价</w:t>
      </w:r>
    </w:p>
    <w:p>
      <w:pPr>
        <w:pStyle w:val="40"/>
        <w:ind w:firstLine="480"/>
        <w:rPr>
          <w:rFonts w:hint="eastAsia"/>
          <w:bCs w:val="0"/>
          <w:snapToGrid w:val="0"/>
          <w:kern w:val="0"/>
        </w:rPr>
      </w:pPr>
      <w:r>
        <w:rPr>
          <w:rFonts w:hint="eastAsia"/>
          <w:bCs w:val="0"/>
          <w:snapToGrid w:val="0"/>
          <w:kern w:val="0"/>
        </w:rPr>
        <w:t>鉴于本工程特点以及根据《</w:t>
      </w:r>
      <w:r>
        <w:rPr>
          <w:rFonts w:hint="eastAsia"/>
        </w:rPr>
        <w:t xml:space="preserve">生产建设项目水土保持技术标准GB50433-2018 </w:t>
      </w:r>
      <w:r>
        <w:rPr>
          <w:rFonts w:hint="eastAsia"/>
          <w:bCs w:val="0"/>
          <w:snapToGrid w:val="0"/>
          <w:kern w:val="0"/>
        </w:rPr>
        <w:t>》中的规定，</w:t>
      </w:r>
      <w:r>
        <w:rPr>
          <w:rFonts w:hint="eastAsia"/>
          <w:bCs w:val="0"/>
          <w:snapToGrid w:val="0"/>
          <w:kern w:val="0"/>
          <w:lang w:eastAsia="zh-CN"/>
        </w:rPr>
        <w:t>项目为新建项目，</w:t>
      </w:r>
      <w:r>
        <w:rPr>
          <w:rFonts w:hint="eastAsia"/>
          <w:bCs w:val="0"/>
          <w:snapToGrid w:val="0"/>
          <w:kern w:val="0"/>
        </w:rPr>
        <w:t>主体工程占地性质方面，本项目</w:t>
      </w:r>
      <w:r>
        <w:rPr>
          <w:rFonts w:hint="eastAsia"/>
          <w:bCs w:val="0"/>
          <w:snapToGrid w:val="0"/>
          <w:kern w:val="0"/>
          <w:lang w:eastAsia="zh-CN"/>
        </w:rPr>
        <w:t>均</w:t>
      </w:r>
      <w:r>
        <w:rPr>
          <w:rFonts w:hint="eastAsia"/>
          <w:bCs w:val="0"/>
          <w:snapToGrid w:val="0"/>
          <w:kern w:val="0"/>
        </w:rPr>
        <w:t>为永久占地，占地类型方面，本项目占地类型基本为</w:t>
      </w:r>
      <w:r>
        <w:rPr>
          <w:rFonts w:hint="eastAsia"/>
          <w:bCs w:val="0"/>
          <w:snapToGrid w:val="0"/>
          <w:kern w:val="0"/>
          <w:lang w:eastAsia="zh-CN"/>
        </w:rPr>
        <w:t>工业用地</w:t>
      </w:r>
      <w:r>
        <w:rPr>
          <w:rFonts w:hint="eastAsia"/>
          <w:bCs w:val="0"/>
          <w:snapToGrid w:val="0"/>
          <w:kern w:val="0"/>
        </w:rPr>
        <w:t>，未占用生产力较高的耕地和水土保持功能较强的林地，符合水土保持要求。占地指标方面，主体工程本着少占地的原则，充分合理地利用征占地，尽量将工程占地的面积减少到最小。本项目在占地性质、类型和占地指标方面均合理、可行、符合水土保持要求。</w:t>
      </w:r>
    </w:p>
    <w:p>
      <w:pPr>
        <w:pStyle w:val="40"/>
        <w:ind w:firstLine="480"/>
        <w:rPr>
          <w:rFonts w:hint="eastAsia"/>
          <w:bCs w:val="0"/>
          <w:snapToGrid w:val="0"/>
          <w:kern w:val="0"/>
        </w:rPr>
      </w:pPr>
      <w:r>
        <w:rPr>
          <w:rFonts w:hint="eastAsia"/>
          <w:bCs w:val="0"/>
          <w:snapToGrid w:val="0"/>
          <w:kern w:val="0"/>
        </w:rPr>
        <w:t>2、土石方平衡评价</w:t>
      </w:r>
    </w:p>
    <w:p>
      <w:pPr>
        <w:pStyle w:val="40"/>
        <w:ind w:firstLine="480"/>
        <w:rPr>
          <w:rFonts w:hint="eastAsia"/>
          <w:bCs w:val="0"/>
          <w:snapToGrid w:val="0"/>
          <w:kern w:val="0"/>
        </w:rPr>
      </w:pPr>
      <w:r>
        <w:rPr>
          <w:rFonts w:hint="eastAsia"/>
          <w:bCs w:val="0"/>
          <w:snapToGrid w:val="0"/>
          <w:kern w:val="0"/>
        </w:rPr>
        <w:t>本项目建设期挖填总量</w:t>
      </w:r>
      <w:r>
        <w:rPr>
          <w:rFonts w:hint="eastAsia"/>
          <w:bCs w:val="0"/>
          <w:snapToGrid w:val="0"/>
          <w:kern w:val="0"/>
          <w:lang w:val="en-US" w:eastAsia="zh-CN"/>
        </w:rPr>
        <w:t>1.2</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。其中开挖</w:t>
      </w:r>
      <w:r>
        <w:rPr>
          <w:rFonts w:hint="eastAsia"/>
          <w:bCs w:val="0"/>
          <w:snapToGrid w:val="0"/>
          <w:kern w:val="0"/>
          <w:lang w:val="en-US" w:eastAsia="zh-CN"/>
        </w:rPr>
        <w:t>0.6</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，回填</w:t>
      </w:r>
      <w:r>
        <w:rPr>
          <w:rFonts w:hint="eastAsia"/>
          <w:bCs w:val="0"/>
          <w:snapToGrid w:val="0"/>
          <w:kern w:val="0"/>
          <w:lang w:val="en-US" w:eastAsia="zh-CN"/>
        </w:rPr>
        <w:t>0.6</w:t>
      </w:r>
      <w:r>
        <w:rPr>
          <w:rFonts w:hint="eastAsia"/>
          <w:bCs w:val="0"/>
          <w:snapToGrid w:val="0"/>
          <w:kern w:val="0"/>
        </w:rPr>
        <w:t>万m</w:t>
      </w:r>
      <w:r>
        <w:rPr>
          <w:rFonts w:hint="eastAsia"/>
          <w:bCs w:val="0"/>
          <w:snapToGrid w:val="0"/>
          <w:kern w:val="0"/>
          <w:vertAlign w:val="superscript"/>
        </w:rPr>
        <w:t>3</w:t>
      </w:r>
      <w:r>
        <w:rPr>
          <w:rFonts w:hint="eastAsia"/>
          <w:bCs w:val="0"/>
          <w:snapToGrid w:val="0"/>
          <w:kern w:val="0"/>
        </w:rPr>
        <w:t>，无弃方，符合水土保持要求。</w:t>
      </w:r>
    </w:p>
    <w:p>
      <w:pPr>
        <w:pStyle w:val="40"/>
        <w:ind w:firstLine="480"/>
        <w:rPr>
          <w:rFonts w:hint="eastAsia"/>
          <w:bCs w:val="0"/>
          <w:snapToGrid w:val="0"/>
          <w:kern w:val="0"/>
        </w:rPr>
      </w:pPr>
      <w:r>
        <w:rPr>
          <w:rFonts w:hint="eastAsia"/>
          <w:bCs w:val="0"/>
          <w:snapToGrid w:val="0"/>
          <w:kern w:val="0"/>
        </w:rPr>
        <w:t>4、取土（石 、砂）场设置评价</w:t>
      </w:r>
    </w:p>
    <w:p>
      <w:pPr>
        <w:pStyle w:val="40"/>
        <w:ind w:firstLine="480"/>
        <w:rPr>
          <w:rFonts w:hint="eastAsia"/>
          <w:bCs w:val="0"/>
          <w:snapToGrid w:val="0"/>
          <w:kern w:val="0"/>
        </w:rPr>
      </w:pPr>
      <w:r>
        <w:rPr>
          <w:rFonts w:hint="eastAsia"/>
          <w:bCs w:val="0"/>
          <w:snapToGrid w:val="0"/>
          <w:kern w:val="0"/>
        </w:rPr>
        <w:t>本项目不涉及取土场。</w:t>
      </w:r>
    </w:p>
    <w:p>
      <w:pPr>
        <w:pStyle w:val="40"/>
        <w:ind w:firstLine="480"/>
        <w:rPr>
          <w:rFonts w:hint="eastAsia"/>
          <w:bCs w:val="0"/>
          <w:snapToGrid w:val="0"/>
          <w:kern w:val="0"/>
        </w:rPr>
      </w:pPr>
      <w:r>
        <w:rPr>
          <w:rFonts w:hint="eastAsia"/>
          <w:bCs w:val="0"/>
          <w:snapToGrid w:val="0"/>
          <w:kern w:val="0"/>
        </w:rPr>
        <w:t>5、弃土（石、渣、灰、矸石、尾矿）场设置评价</w:t>
      </w:r>
    </w:p>
    <w:p>
      <w:pPr>
        <w:pStyle w:val="40"/>
        <w:ind w:firstLine="480"/>
        <w:rPr>
          <w:rFonts w:hint="eastAsia"/>
          <w:bCs w:val="0"/>
          <w:snapToGrid w:val="0"/>
          <w:kern w:val="0"/>
        </w:rPr>
      </w:pPr>
      <w:r>
        <w:rPr>
          <w:rFonts w:hint="eastAsia"/>
          <w:bCs w:val="0"/>
          <w:snapToGrid w:val="0"/>
          <w:kern w:val="0"/>
          <w:lang w:eastAsia="zh-CN"/>
        </w:rPr>
        <w:t>项目生产过程产生的尾渣已于曲沃县诺航新型建材有限公司签订尾渣购销协议</w:t>
      </w:r>
      <w:r>
        <w:rPr>
          <w:rFonts w:hint="eastAsia"/>
          <w:bCs w:val="0"/>
          <w:snapToGrid w:val="0"/>
          <w:kern w:val="0"/>
        </w:rPr>
        <w:t>，</w:t>
      </w:r>
      <w:r>
        <w:rPr>
          <w:rFonts w:hint="eastAsia"/>
          <w:bCs w:val="0"/>
          <w:snapToGrid w:val="0"/>
          <w:kern w:val="0"/>
          <w:lang w:eastAsia="zh-CN"/>
        </w:rPr>
        <w:t>曲沃县诺航新型建材有限公司年产砖 6000 万块，能将企业生产过程中产生的尾渣全部综合利用，</w:t>
      </w:r>
      <w:r>
        <w:rPr>
          <w:rFonts w:hint="eastAsia"/>
          <w:bCs w:val="0"/>
          <w:snapToGrid w:val="0"/>
          <w:kern w:val="0"/>
        </w:rPr>
        <w:t>最大限度的减少了水土流失，符合水土保持要求。</w:t>
      </w:r>
    </w:p>
    <w:p>
      <w:pPr>
        <w:pStyle w:val="40"/>
        <w:ind w:firstLine="480"/>
        <w:rPr>
          <w:rFonts w:hint="eastAsia"/>
          <w:bCs w:val="0"/>
          <w:snapToGrid w:val="0"/>
          <w:kern w:val="0"/>
        </w:rPr>
      </w:pPr>
      <w:r>
        <w:rPr>
          <w:rFonts w:hint="eastAsia"/>
          <w:bCs w:val="0"/>
          <w:snapToGrid w:val="0"/>
          <w:kern w:val="0"/>
        </w:rPr>
        <w:t>6、施工方法与工艺评价</w:t>
      </w:r>
    </w:p>
    <w:p>
      <w:pPr>
        <w:pStyle w:val="40"/>
        <w:ind w:firstLine="480"/>
        <w:rPr>
          <w:rFonts w:hint="eastAsia"/>
          <w:bCs w:val="0"/>
          <w:snapToGrid w:val="0"/>
          <w:kern w:val="0"/>
        </w:rPr>
      </w:pPr>
      <w:r>
        <w:rPr>
          <w:rFonts w:hint="eastAsia"/>
          <w:bCs w:val="0"/>
          <w:snapToGrid w:val="0"/>
          <w:kern w:val="0"/>
        </w:rPr>
        <w:t>施工所需建筑材料在当地购买，其水土流失防治责任由开采商负责。</w:t>
      </w:r>
    </w:p>
    <w:p>
      <w:pPr>
        <w:pStyle w:val="40"/>
        <w:ind w:firstLine="480"/>
        <w:rPr>
          <w:rFonts w:hint="eastAsia"/>
          <w:bCs w:val="0"/>
          <w:snapToGrid w:val="0"/>
          <w:kern w:val="0"/>
        </w:rPr>
      </w:pPr>
      <w:r>
        <w:rPr>
          <w:rFonts w:hint="eastAsia"/>
          <w:bCs w:val="0"/>
          <w:snapToGrid w:val="0"/>
          <w:kern w:val="0"/>
        </w:rPr>
        <w:t>建筑材料随用随运，利用仓库或专门堆放场集中储存和堆放。</w:t>
      </w:r>
    </w:p>
    <w:p>
      <w:pPr>
        <w:pStyle w:val="40"/>
        <w:ind w:firstLine="480"/>
        <w:rPr>
          <w:rFonts w:hint="eastAsia"/>
          <w:bCs w:val="0"/>
          <w:snapToGrid w:val="0"/>
          <w:kern w:val="0"/>
        </w:rPr>
      </w:pPr>
      <w:r>
        <w:rPr>
          <w:rFonts w:hint="eastAsia"/>
          <w:bCs w:val="0"/>
          <w:snapToGrid w:val="0"/>
          <w:kern w:val="0"/>
        </w:rPr>
        <w:t>主体工程选用的均为比较成熟的施工工艺，通过合理安排工序，防止重复开挖和土方多次倒运。通过合理安排施工进度与时序，缩小了裸露面积和减少裸露时间，同时减少了施工过程中因降水可能产生的水土流失。</w:t>
      </w:r>
    </w:p>
    <w:p>
      <w:pPr>
        <w:pStyle w:val="40"/>
        <w:ind w:firstLine="480"/>
        <w:rPr>
          <w:rFonts w:hint="eastAsia" w:eastAsia="宋体"/>
          <w:bCs w:val="0"/>
          <w:snapToGrid w:val="0"/>
          <w:kern w:val="0"/>
          <w:lang w:val="en-US" w:eastAsia="zh-CN"/>
        </w:rPr>
      </w:pPr>
      <w:r>
        <w:rPr>
          <w:rFonts w:hint="eastAsia"/>
          <w:bCs w:val="0"/>
          <w:snapToGrid w:val="0"/>
          <w:kern w:val="0"/>
        </w:rPr>
        <w:t>综上所述，从水土保持角度出发，以上施工工艺以及施工工序比较合理。</w:t>
      </w:r>
    </w:p>
    <w:p>
      <w:pPr>
        <w:pStyle w:val="37"/>
      </w:pPr>
      <w:r>
        <w:rPr>
          <w:rFonts w:hint="eastAsia"/>
        </w:rPr>
        <w:t>4水土流失影响调查</w:t>
      </w:r>
    </w:p>
    <w:p>
      <w:pPr>
        <w:pStyle w:val="43"/>
        <w:spacing w:line="480" w:lineRule="exact"/>
        <w:ind w:firstLine="480"/>
      </w:pPr>
      <w:r>
        <w:t>综合考虑项目区水力侵蚀以及地表形态、降雨、土壤、植被等水土流失影响因子的特性及调查对象受扰动情况，经过现场调查，并参考项目区土壤侵蚀强度分布图，通过加权平均确定项目区原地貌土壤侵蚀模数为</w:t>
      </w:r>
      <w:r>
        <w:rPr>
          <w:rFonts w:hint="eastAsia"/>
          <w:lang w:val="en-US" w:eastAsia="zh-CN"/>
        </w:rPr>
        <w:t>1500</w:t>
      </w:r>
      <w:r>
        <w:rPr>
          <w:rFonts w:hint="eastAsia"/>
        </w:rPr>
        <w:t>t/km².a</w:t>
      </w:r>
      <w:r>
        <w:t>属于</w:t>
      </w:r>
      <w:r>
        <w:rPr>
          <w:rFonts w:hint="eastAsia"/>
          <w:lang w:eastAsia="zh-CN"/>
        </w:rPr>
        <w:t>轻</w:t>
      </w:r>
      <w:r>
        <w:t>度侵蚀。根据《山西省土壤侵蚀分区图》，项目区属于</w:t>
      </w:r>
      <w:r>
        <w:rPr>
          <w:rFonts w:hint="eastAsia"/>
          <w:lang w:eastAsia="zh-CN"/>
        </w:rPr>
        <w:t>冲击平原区</w:t>
      </w:r>
      <w:r>
        <w:t>，属水力侵蚀区，土壤容许流失量为1000t/（km</w:t>
      </w:r>
      <w:r>
        <w:rPr>
          <w:vertAlign w:val="superscript"/>
        </w:rPr>
        <w:t>2</w:t>
      </w:r>
      <w:r>
        <w:t>.a）。</w:t>
      </w:r>
    </w:p>
    <w:p>
      <w:pPr>
        <w:pStyle w:val="43"/>
        <w:ind w:firstLine="480"/>
        <w:rPr>
          <w:snapToGrid w:val="0"/>
          <w:kern w:val="0"/>
        </w:rPr>
      </w:pPr>
      <w:bookmarkStart w:id="11" w:name="_Toc510511119"/>
      <w:r>
        <w:rPr>
          <w:rFonts w:hint="eastAsia"/>
          <w:snapToGrid w:val="0"/>
          <w:kern w:val="0"/>
        </w:rPr>
        <w:t>a）预测</w:t>
      </w:r>
      <w:bookmarkEnd w:id="11"/>
      <w:r>
        <w:rPr>
          <w:rFonts w:hint="eastAsia"/>
          <w:snapToGrid w:val="0"/>
          <w:kern w:val="0"/>
        </w:rPr>
        <w:t>单元</w:t>
      </w:r>
    </w:p>
    <w:p>
      <w:pPr>
        <w:pStyle w:val="43"/>
        <w:ind w:firstLine="480"/>
        <w:rPr>
          <w:snapToGrid w:val="0"/>
          <w:kern w:val="0"/>
        </w:rPr>
      </w:pPr>
      <w:r>
        <w:rPr>
          <w:snapToGrid w:val="0"/>
          <w:kern w:val="0"/>
        </w:rPr>
        <w:t>根据《生产建设项目水土保持技术标准》（GB50433-2018），结合水土流失因素分析及工程区各功能区域不同的施工特点</w:t>
      </w:r>
      <w:r>
        <w:rPr>
          <w:rFonts w:hint="eastAsia"/>
          <w:snapToGrid w:val="0"/>
          <w:kern w:val="0"/>
          <w:lang w:eastAsia="zh-CN"/>
        </w:rPr>
        <w:t>，输电线路已自然恢复，故</w:t>
      </w:r>
      <w:r>
        <w:rPr>
          <w:snapToGrid w:val="0"/>
          <w:kern w:val="0"/>
        </w:rPr>
        <w:t>划分为</w:t>
      </w:r>
      <w:r>
        <w:rPr>
          <w:rFonts w:hint="eastAsia"/>
          <w:snapToGrid w:val="0"/>
          <w:kern w:val="0"/>
          <w:lang w:eastAsia="zh-CN"/>
        </w:rPr>
        <w:t>工业场地、进场道路</w:t>
      </w:r>
      <w:r>
        <w:rPr>
          <w:rFonts w:hint="eastAsia"/>
          <w:snapToGrid w:val="0"/>
          <w:kern w:val="0"/>
          <w:lang w:val="en-US" w:eastAsia="zh-CN"/>
        </w:rPr>
        <w:t>2</w:t>
      </w:r>
      <w:r>
        <w:rPr>
          <w:snapToGrid w:val="0"/>
          <w:kern w:val="0"/>
        </w:rPr>
        <w:t>个单元</w:t>
      </w:r>
      <w:r>
        <w:rPr>
          <w:rFonts w:hint="eastAsia"/>
          <w:snapToGrid w:val="0"/>
          <w:kern w:val="0"/>
        </w:rPr>
        <w:t>。</w:t>
      </w:r>
    </w:p>
    <w:p>
      <w:pPr>
        <w:pStyle w:val="43"/>
        <w:ind w:firstLine="480"/>
        <w:rPr>
          <w:snapToGrid w:val="0"/>
          <w:kern w:val="0"/>
        </w:rPr>
      </w:pPr>
      <w:r>
        <w:rPr>
          <w:rFonts w:hint="eastAsia"/>
          <w:snapToGrid w:val="0"/>
          <w:kern w:val="0"/>
        </w:rPr>
        <w:t>b）预测时段</w:t>
      </w:r>
    </w:p>
    <w:p>
      <w:pPr>
        <w:pStyle w:val="43"/>
        <w:adjustRightInd/>
        <w:snapToGrid/>
        <w:ind w:firstLine="480"/>
        <w:rPr>
          <w:snapToGrid w:val="0"/>
        </w:rPr>
      </w:pPr>
      <w:r>
        <w:rPr>
          <w:snapToGrid w:val="0"/>
          <w:lang w:val="zh-CN"/>
        </w:rPr>
        <w:t>施工期由于</w:t>
      </w:r>
      <w:r>
        <w:rPr>
          <w:rFonts w:hint="eastAsia"/>
          <w:snapToGrid w:val="0"/>
          <w:lang w:val="zh-CN"/>
        </w:rPr>
        <w:t>场地平整</w:t>
      </w:r>
      <w:r>
        <w:rPr>
          <w:snapToGrid w:val="0"/>
          <w:lang w:val="zh-CN"/>
        </w:rPr>
        <w:t>、建筑等施工活动，</w:t>
      </w:r>
      <w:r>
        <w:rPr>
          <w:rFonts w:hint="eastAsia"/>
          <w:snapToGrid w:val="0"/>
          <w:lang w:val="zh-CN"/>
        </w:rPr>
        <w:t>将</w:t>
      </w:r>
      <w:r>
        <w:rPr>
          <w:snapToGrid w:val="0"/>
          <w:lang w:val="zh-CN"/>
        </w:rPr>
        <w:t>使原地貌的植被覆盖率下降，地表裸露，土壤结构遭到破坏，造成大量的水土流失。施工结束后，随着水土保持防治措施发挥作用和自然植被的逐渐恢复，水土流失逐渐减少。根据不同时段水土流失的差异性，将水土流失预测时段分为施工期和自然恢复期。</w:t>
      </w:r>
      <w:r>
        <w:rPr>
          <w:rFonts w:hint="eastAsia"/>
          <w:snapToGrid w:val="0"/>
          <w:lang w:val="zh-CN"/>
        </w:rPr>
        <w:t>施工期按</w:t>
      </w:r>
      <w:r>
        <w:rPr>
          <w:rFonts w:hint="eastAsia"/>
          <w:snapToGrid w:val="0"/>
          <w:lang w:val="en-US" w:eastAsia="zh-CN"/>
        </w:rPr>
        <w:t>3.5</w:t>
      </w:r>
      <w:r>
        <w:rPr>
          <w:rFonts w:hint="eastAsia"/>
          <w:snapToGrid w:val="0"/>
          <w:lang w:val="zh-CN"/>
        </w:rPr>
        <w:t>年计，</w:t>
      </w:r>
      <w:r>
        <w:rPr>
          <w:snapToGrid w:val="0"/>
          <w:lang w:val="zh-CN"/>
        </w:rPr>
        <w:t>自然恢复期预测时段为</w:t>
      </w:r>
      <w:r>
        <w:rPr>
          <w:rFonts w:hint="eastAsia"/>
          <w:snapToGrid w:val="0"/>
          <w:lang w:val="en-US" w:eastAsia="zh-CN"/>
        </w:rPr>
        <w:t>3</w:t>
      </w:r>
      <w:r>
        <w:rPr>
          <w:snapToGrid w:val="0"/>
          <w:lang w:val="zh-CN"/>
        </w:rPr>
        <w:t>年。</w:t>
      </w:r>
    </w:p>
    <w:p>
      <w:pPr>
        <w:pStyle w:val="43"/>
        <w:ind w:firstLine="361" w:firstLineChars="150"/>
        <w:rPr>
          <w:snapToGrid w:val="0"/>
          <w:kern w:val="0"/>
        </w:rPr>
      </w:pPr>
      <w:r>
        <w:rPr>
          <w:rFonts w:hint="eastAsia" w:eastAsia="黑体"/>
          <w:b/>
          <w:szCs w:val="28"/>
        </w:rPr>
        <w:t>c</w:t>
      </w:r>
      <w:r>
        <w:rPr>
          <w:rFonts w:hint="eastAsia"/>
          <w:snapToGrid w:val="0"/>
          <w:kern w:val="0"/>
        </w:rPr>
        <w:t>）水土流失量计算方法</w:t>
      </w:r>
    </w:p>
    <w:p>
      <w:pPr>
        <w:pStyle w:val="43"/>
        <w:adjustRightInd/>
        <w:snapToGrid/>
        <w:ind w:firstLine="480"/>
        <w:rPr>
          <w:snapToGrid w:val="0"/>
        </w:rPr>
      </w:pPr>
      <w:r>
        <w:rPr>
          <w:snapToGrid w:val="0"/>
          <w:lang w:val="zh-CN"/>
        </w:rPr>
        <w:t>水土流失量计算公式如下：</w:t>
      </w:r>
    </w:p>
    <w:p>
      <w:pPr>
        <w:rPr>
          <w:rFonts w:cs="Times New Roman"/>
          <w:snapToGrid w:val="0"/>
        </w:rPr>
      </w:pPr>
      <w:r>
        <w:rPr>
          <w:rFonts w:cs="Times New Roman"/>
        </w:rPr>
        <w:drawing>
          <wp:anchor distT="0" distB="0" distL="114300" distR="114300" simplePos="0" relativeHeight="251659264" behindDoc="0" locked="0" layoutInCell="1" allowOverlap="1">
            <wp:simplePos x="0" y="0"/>
            <wp:positionH relativeFrom="column">
              <wp:align>center</wp:align>
            </wp:positionH>
            <wp:positionV relativeFrom="paragraph">
              <wp:posOffset>107950</wp:posOffset>
            </wp:positionV>
            <wp:extent cx="1828800" cy="510540"/>
            <wp:effectExtent l="0" t="0" r="0" b="0"/>
            <wp:wrapNone/>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noChangeArrowheads="1"/>
                    </pic:cNvPicPr>
                  </pic:nvPicPr>
                  <pic:blipFill>
                    <a:blip r:embed="rId9"/>
                    <a:srcRect/>
                    <a:stretch>
                      <a:fillRect/>
                    </a:stretch>
                  </pic:blipFill>
                  <pic:spPr>
                    <a:xfrm>
                      <a:off x="0" y="0"/>
                      <a:ext cx="1828800" cy="510540"/>
                    </a:xfrm>
                    <a:prstGeom prst="rect">
                      <a:avLst/>
                    </a:prstGeom>
                    <a:noFill/>
                  </pic:spPr>
                </pic:pic>
              </a:graphicData>
            </a:graphic>
          </wp:anchor>
        </w:drawing>
      </w:r>
    </w:p>
    <w:p>
      <w:pPr>
        <w:wordWrap w:val="0"/>
        <w:spacing w:line="360" w:lineRule="auto"/>
        <w:ind w:firstLine="480"/>
        <w:jc w:val="right"/>
        <w:rPr>
          <w:rFonts w:cs="Times New Roman"/>
          <w:snapToGrid w:val="0"/>
        </w:rPr>
      </w:pPr>
    </w:p>
    <w:p>
      <w:pPr>
        <w:ind w:firstLine="560"/>
        <w:jc w:val="right"/>
        <w:rPr>
          <w:rFonts w:cs="Times New Roman"/>
          <w:snapToGrid w:val="0"/>
        </w:rPr>
      </w:pPr>
      <w:r>
        <w:rPr>
          <w:rFonts w:cs="Times New Roman"/>
        </w:rPr>
        <w:drawing>
          <wp:anchor distT="0" distB="0" distL="114300" distR="114300" simplePos="0" relativeHeight="251660288" behindDoc="0" locked="0" layoutInCell="1" allowOverlap="1">
            <wp:simplePos x="0" y="0"/>
            <wp:positionH relativeFrom="column">
              <wp:posOffset>1791970</wp:posOffset>
            </wp:positionH>
            <wp:positionV relativeFrom="paragraph">
              <wp:posOffset>10160</wp:posOffset>
            </wp:positionV>
            <wp:extent cx="2066290" cy="510540"/>
            <wp:effectExtent l="0" t="0" r="0" b="0"/>
            <wp:wrapNone/>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noChangeArrowheads="1"/>
                    </pic:cNvPicPr>
                  </pic:nvPicPr>
                  <pic:blipFill>
                    <a:blip r:embed="rId10"/>
                    <a:srcRect/>
                    <a:stretch>
                      <a:fillRect/>
                    </a:stretch>
                  </pic:blipFill>
                  <pic:spPr>
                    <a:xfrm>
                      <a:off x="0" y="0"/>
                      <a:ext cx="2066290" cy="510540"/>
                    </a:xfrm>
                    <a:prstGeom prst="rect">
                      <a:avLst/>
                    </a:prstGeom>
                    <a:noFill/>
                  </pic:spPr>
                </pic:pic>
              </a:graphicData>
            </a:graphic>
          </wp:anchor>
        </w:drawing>
      </w:r>
    </w:p>
    <w:p>
      <w:pPr>
        <w:pStyle w:val="43"/>
        <w:ind w:firstLine="0" w:firstLineChars="0"/>
        <w:rPr>
          <w:snapToGrid w:val="0"/>
          <w:lang w:val="zh-CN"/>
        </w:rPr>
      </w:pPr>
    </w:p>
    <w:p>
      <w:pPr>
        <w:pStyle w:val="43"/>
        <w:ind w:firstLine="0" w:firstLineChars="0"/>
        <w:rPr>
          <w:snapToGrid w:val="0"/>
        </w:rPr>
      </w:pPr>
      <w:r>
        <w:rPr>
          <w:snapToGrid w:val="0"/>
          <w:lang w:val="zh-CN"/>
        </w:rPr>
        <w:t>式中</w:t>
      </w:r>
      <w:r>
        <w:rPr>
          <w:rFonts w:hint="eastAsia"/>
          <w:snapToGrid w:val="0"/>
          <w:lang w:val="zh-CN"/>
        </w:rPr>
        <w:t>：</w:t>
      </w:r>
      <w:r>
        <w:rPr>
          <w:snapToGrid w:val="0"/>
        </w:rPr>
        <w:t>W——</w:t>
      </w:r>
      <w:r>
        <w:rPr>
          <w:snapToGrid w:val="0"/>
          <w:lang w:val="zh-CN"/>
        </w:rPr>
        <w:t>土壤流失量</w:t>
      </w:r>
      <w:r>
        <w:rPr>
          <w:snapToGrid w:val="0"/>
        </w:rPr>
        <w:t>（t）；</w:t>
      </w:r>
    </w:p>
    <w:p>
      <w:pPr>
        <w:pStyle w:val="43"/>
        <w:ind w:left="708" w:leftChars="295" w:firstLine="0" w:firstLineChars="0"/>
        <w:rPr>
          <w:snapToGrid w:val="0"/>
        </w:rPr>
      </w:pPr>
      <w:r>
        <w:rPr>
          <w:rFonts w:ascii="Cambria Math" w:hAnsi="Cambria Math" w:cs="Cambria Math"/>
          <w:snapToGrid w:val="0"/>
        </w:rPr>
        <w:t>△</w:t>
      </w:r>
      <w:r>
        <w:rPr>
          <w:snapToGrid w:val="0"/>
        </w:rPr>
        <w:t>W——</w:t>
      </w:r>
      <w:r>
        <w:rPr>
          <w:snapToGrid w:val="0"/>
          <w:lang w:val="zh-CN"/>
        </w:rPr>
        <w:t>新增土壤流失量</w:t>
      </w:r>
      <w:r>
        <w:rPr>
          <w:snapToGrid w:val="0"/>
        </w:rPr>
        <w:t>（t）；</w:t>
      </w:r>
    </w:p>
    <w:p>
      <w:pPr>
        <w:pStyle w:val="43"/>
        <w:ind w:left="708" w:leftChars="295" w:firstLine="0" w:firstLineChars="0"/>
        <w:rPr>
          <w:snapToGrid w:val="0"/>
        </w:rPr>
      </w:pPr>
      <w:r>
        <w:rPr>
          <w:snapToGrid w:val="0"/>
        </w:rPr>
        <w:t>i——</w:t>
      </w:r>
      <w:r>
        <w:rPr>
          <w:snapToGrid w:val="0"/>
          <w:lang w:val="zh-CN"/>
        </w:rPr>
        <w:t>预测单元（</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w:t>
      </w:r>
      <w:r>
        <w:rPr>
          <w:snapToGrid w:val="0"/>
        </w:rPr>
        <w:t>……n</w:t>
      </w:r>
      <w:r>
        <w:rPr>
          <w:snapToGrid w:val="0"/>
          <w:lang w:val="zh-CN"/>
        </w:rPr>
        <w:t>）；</w:t>
      </w:r>
    </w:p>
    <w:p>
      <w:pPr>
        <w:pStyle w:val="43"/>
        <w:ind w:left="708" w:leftChars="295" w:firstLine="0" w:firstLineChars="0"/>
        <w:rPr>
          <w:snapToGrid w:val="0"/>
        </w:rPr>
      </w:pPr>
      <w:r>
        <w:rPr>
          <w:snapToGrid w:val="0"/>
        </w:rPr>
        <w:t>k——</w:t>
      </w:r>
      <w:r>
        <w:rPr>
          <w:snapToGrid w:val="0"/>
          <w:lang w:val="zh-CN"/>
        </w:rPr>
        <w:t>预测时段，</w:t>
      </w:r>
      <w:r>
        <w:rPr>
          <w:snapToGrid w:val="0"/>
        </w:rPr>
        <w:t>1</w:t>
      </w:r>
      <w:r>
        <w:rPr>
          <w:snapToGrid w:val="0"/>
          <w:lang w:val="zh-CN"/>
        </w:rPr>
        <w:t>，</w:t>
      </w:r>
      <w:r>
        <w:rPr>
          <w:snapToGrid w:val="0"/>
        </w:rPr>
        <w:t>2</w:t>
      </w:r>
      <w:r>
        <w:rPr>
          <w:snapToGrid w:val="0"/>
          <w:lang w:val="zh-CN"/>
        </w:rPr>
        <w:t>，</w:t>
      </w:r>
      <w:r>
        <w:rPr>
          <w:snapToGrid w:val="0"/>
        </w:rPr>
        <w:t>3</w:t>
      </w:r>
      <w:r>
        <w:rPr>
          <w:snapToGrid w:val="0"/>
          <w:lang w:val="zh-CN"/>
        </w:rPr>
        <w:t>，指施工准备期、施工期和自然恢复期；</w:t>
      </w:r>
    </w:p>
    <w:p>
      <w:pPr>
        <w:pStyle w:val="43"/>
        <w:ind w:left="708" w:leftChars="295" w:firstLine="0" w:firstLineChars="0"/>
        <w:rPr>
          <w:snapToGrid w:val="0"/>
        </w:rPr>
      </w:pPr>
      <w:r>
        <w:rPr>
          <w:snapToGrid w:val="0"/>
        </w:rPr>
        <w:t>F</w:t>
      </w:r>
      <w:r>
        <w:rPr>
          <w:snapToGrid w:val="0"/>
          <w:vertAlign w:val="subscript"/>
        </w:rPr>
        <w:t>i</w:t>
      </w:r>
      <w:r>
        <w:rPr>
          <w:snapToGrid w:val="0"/>
        </w:rPr>
        <w:t>——</w:t>
      </w:r>
      <w:r>
        <w:rPr>
          <w:snapToGrid w:val="0"/>
          <w:lang w:val="zh-CN"/>
        </w:rPr>
        <w:t>第</w:t>
      </w:r>
      <w:r>
        <w:rPr>
          <w:snapToGrid w:val="0"/>
        </w:rPr>
        <w:t>i</w:t>
      </w:r>
      <w:r>
        <w:rPr>
          <w:snapToGrid w:val="0"/>
          <w:lang w:val="zh-CN"/>
        </w:rPr>
        <w:t>个预测单元的面积</w:t>
      </w:r>
      <w:r>
        <w:rPr>
          <w:rFonts w:hint="eastAsia"/>
          <w:snapToGrid w:val="0"/>
          <w:lang w:val="zh-CN"/>
        </w:rPr>
        <w:t>（</w:t>
      </w:r>
      <w:r>
        <w:rPr>
          <w:snapToGrid w:val="0"/>
        </w:rPr>
        <w:t>km</w:t>
      </w:r>
      <w:r>
        <w:rPr>
          <w:snapToGrid w:val="0"/>
          <w:vertAlign w:val="superscript"/>
        </w:rPr>
        <w:t>2</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M</w:t>
      </w:r>
      <w:r>
        <w:rPr>
          <w:snapToGrid w:val="0"/>
          <w:vertAlign w:val="subscript"/>
        </w:rPr>
        <w:t>ik</w:t>
      </w:r>
      <w:r>
        <w:rPr>
          <w:snapToGrid w:val="0"/>
        </w:rPr>
        <w:t>——</w:t>
      </w:r>
      <w:r>
        <w:rPr>
          <w:snapToGrid w:val="0"/>
          <w:lang w:val="zh-CN"/>
        </w:rPr>
        <w:t>扰动后不同预测单元不同时段的土壤侵蚀模数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rPr>
        <w:t>）</w:t>
      </w:r>
      <w:r>
        <w:rPr>
          <w:snapToGrid w:val="0"/>
          <w:lang w:val="zh-CN"/>
        </w:rPr>
        <w:t>；</w:t>
      </w:r>
    </w:p>
    <w:p>
      <w:pPr>
        <w:pStyle w:val="43"/>
        <w:ind w:left="708" w:leftChars="295" w:firstLine="0" w:firstLineChars="0"/>
        <w:rPr>
          <w:snapToGrid w:val="0"/>
        </w:rPr>
      </w:pPr>
      <w:r>
        <w:rPr>
          <w:rFonts w:ascii="Cambria Math" w:hAnsi="Cambria Math" w:cs="Cambria Math"/>
          <w:snapToGrid w:val="0"/>
          <w:lang w:val="zh-CN"/>
        </w:rPr>
        <w:t>△</w:t>
      </w:r>
      <w:r>
        <w:rPr>
          <w:snapToGrid w:val="0"/>
        </w:rPr>
        <w:t>M</w:t>
      </w:r>
      <w:r>
        <w:rPr>
          <w:snapToGrid w:val="0"/>
          <w:vertAlign w:val="subscript"/>
        </w:rPr>
        <w:t>ik</w:t>
      </w:r>
      <w:r>
        <w:rPr>
          <w:snapToGrid w:val="0"/>
        </w:rPr>
        <w:t>——</w:t>
      </w:r>
      <w:r>
        <w:rPr>
          <w:snapToGrid w:val="0"/>
          <w:lang w:val="zh-CN"/>
        </w:rPr>
        <w:t>不同单元各时段新增土壤侵蚀模数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M</w:t>
      </w:r>
      <w:r>
        <w:rPr>
          <w:snapToGrid w:val="0"/>
          <w:vertAlign w:val="subscript"/>
        </w:rPr>
        <w:t>i0</w:t>
      </w:r>
      <w:r>
        <w:rPr>
          <w:snapToGrid w:val="0"/>
        </w:rPr>
        <w:t>——</w:t>
      </w:r>
      <w:r>
        <w:rPr>
          <w:snapToGrid w:val="0"/>
          <w:lang w:val="zh-CN"/>
        </w:rPr>
        <w:t>扰动前不同预测单元土壤侵蚀模数</w:t>
      </w:r>
      <w:r>
        <w:rPr>
          <w:rFonts w:hint="eastAsia"/>
          <w:snapToGrid w:val="0"/>
          <w:lang w:val="zh-CN"/>
        </w:rPr>
        <w:t>（</w:t>
      </w:r>
      <w:r>
        <w:rPr>
          <w:snapToGrid w:val="0"/>
        </w:rPr>
        <w:t>t/km</w:t>
      </w:r>
      <w:r>
        <w:rPr>
          <w:snapToGrid w:val="0"/>
          <w:vertAlign w:val="superscript"/>
        </w:rPr>
        <w:t>2</w:t>
      </w:r>
      <w:r>
        <w:rPr>
          <w:snapToGrid w:val="0"/>
        </w:rPr>
        <w:t>·a</w:t>
      </w:r>
      <w:r>
        <w:rPr>
          <w:rFonts w:hint="eastAsia"/>
          <w:snapToGrid w:val="0"/>
          <w:lang w:val="zh-CN"/>
        </w:rPr>
        <w:t>）</w:t>
      </w:r>
      <w:r>
        <w:rPr>
          <w:snapToGrid w:val="0"/>
          <w:lang w:val="zh-CN"/>
        </w:rPr>
        <w:t>；</w:t>
      </w:r>
    </w:p>
    <w:p>
      <w:pPr>
        <w:pStyle w:val="43"/>
        <w:ind w:left="708" w:leftChars="295" w:firstLine="0" w:firstLineChars="0"/>
        <w:rPr>
          <w:snapToGrid w:val="0"/>
        </w:rPr>
      </w:pPr>
      <w:r>
        <w:rPr>
          <w:snapToGrid w:val="0"/>
        </w:rPr>
        <w:t>T</w:t>
      </w:r>
      <w:r>
        <w:rPr>
          <w:snapToGrid w:val="0"/>
          <w:vertAlign w:val="subscript"/>
        </w:rPr>
        <w:t>ik</w:t>
      </w:r>
      <w:r>
        <w:rPr>
          <w:snapToGrid w:val="0"/>
        </w:rPr>
        <w:t>——</w:t>
      </w:r>
      <w:r>
        <w:rPr>
          <w:snapToGrid w:val="0"/>
          <w:lang w:val="zh-CN"/>
        </w:rPr>
        <w:t>预测时段</w:t>
      </w:r>
      <w:r>
        <w:rPr>
          <w:rFonts w:hint="eastAsia"/>
          <w:snapToGrid w:val="0"/>
          <w:lang w:val="zh-CN"/>
        </w:rPr>
        <w:t>（</w:t>
      </w:r>
      <w:r>
        <w:rPr>
          <w:snapToGrid w:val="0"/>
        </w:rPr>
        <w:t>a</w:t>
      </w:r>
      <w:r>
        <w:rPr>
          <w:rFonts w:hint="eastAsia"/>
          <w:snapToGrid w:val="0"/>
          <w:lang w:val="zh-CN"/>
        </w:rPr>
        <w:t>）</w:t>
      </w:r>
      <w:r>
        <w:rPr>
          <w:snapToGrid w:val="0"/>
          <w:lang w:val="zh-CN"/>
        </w:rPr>
        <w:t>。</w:t>
      </w:r>
    </w:p>
    <w:p>
      <w:pPr>
        <w:pStyle w:val="43"/>
        <w:ind w:firstLine="480"/>
        <w:rPr>
          <w:snapToGrid w:val="0"/>
          <w:kern w:val="0"/>
        </w:rPr>
      </w:pPr>
      <w:r>
        <w:rPr>
          <w:rFonts w:hint="eastAsia"/>
          <w:snapToGrid w:val="0"/>
          <w:kern w:val="0"/>
        </w:rPr>
        <w:t>d）土壤侵蚀模数确定</w:t>
      </w:r>
    </w:p>
    <w:p>
      <w:pPr>
        <w:pStyle w:val="43"/>
        <w:ind w:firstLine="480"/>
      </w:pPr>
      <w:r>
        <w:rPr>
          <w:rFonts w:hint="eastAsia"/>
        </w:rPr>
        <w:t>1）水土流失背景值的确定</w:t>
      </w:r>
    </w:p>
    <w:p>
      <w:pPr>
        <w:pStyle w:val="43"/>
        <w:spacing w:line="520" w:lineRule="exact"/>
        <w:ind w:firstLine="480"/>
        <w:rPr>
          <w:rFonts w:hint="eastAsia"/>
          <w:snapToGrid w:val="0"/>
        </w:rPr>
      </w:pPr>
      <w:r>
        <w:rPr>
          <w:rFonts w:hint="eastAsia"/>
          <w:snapToGrid w:val="0"/>
        </w:rPr>
        <w:t>根据遥感解译，结合实地调查，</w:t>
      </w:r>
      <w:r>
        <w:rPr>
          <w:rFonts w:hint="eastAsia"/>
          <w:snapToGrid w:val="0"/>
          <w:lang w:eastAsia="zh-CN"/>
        </w:rPr>
        <w:t>项目区</w:t>
      </w:r>
      <w:r>
        <w:rPr>
          <w:rFonts w:hint="eastAsia"/>
          <w:snapToGrid w:val="0"/>
        </w:rPr>
        <w:t>土壤侵蚀强度以</w:t>
      </w:r>
      <w:r>
        <w:rPr>
          <w:rFonts w:hint="eastAsia"/>
          <w:snapToGrid w:val="0"/>
          <w:lang w:eastAsia="zh-CN"/>
        </w:rPr>
        <w:t>轻</w:t>
      </w:r>
      <w:r>
        <w:rPr>
          <w:rFonts w:hint="eastAsia"/>
          <w:snapToGrid w:val="0"/>
        </w:rPr>
        <w:t>度侵蚀为主</w:t>
      </w:r>
      <w:r>
        <w:rPr>
          <w:rFonts w:hint="eastAsia"/>
          <w:snapToGrid w:val="0"/>
          <w:lang w:eastAsia="zh-CN"/>
        </w:rPr>
        <w:t>，</w:t>
      </w:r>
      <w:r>
        <w:rPr>
          <w:rFonts w:hint="eastAsia"/>
          <w:snapToGrid w:val="0"/>
        </w:rPr>
        <w:t>通过加权平均确定项目区原地貌土壤侵蚀模数为</w:t>
      </w:r>
      <w:r>
        <w:rPr>
          <w:rFonts w:hint="eastAsia"/>
          <w:snapToGrid w:val="0"/>
          <w:lang w:val="en-US" w:eastAsia="zh-CN"/>
        </w:rPr>
        <w:t>1500</w:t>
      </w:r>
      <w:r>
        <w:rPr>
          <w:rFonts w:hint="eastAsia"/>
          <w:snapToGrid w:val="0"/>
        </w:rPr>
        <w:t>t/km².a。</w:t>
      </w:r>
    </w:p>
    <w:p>
      <w:pPr>
        <w:pStyle w:val="43"/>
        <w:spacing w:line="520" w:lineRule="exact"/>
        <w:ind w:firstLine="480"/>
        <w:rPr>
          <w:snapToGrid w:val="0"/>
        </w:rPr>
      </w:pPr>
      <w:r>
        <w:rPr>
          <w:rFonts w:hint="eastAsia"/>
          <w:snapToGrid w:val="0"/>
        </w:rPr>
        <w:t>2）</w:t>
      </w:r>
      <w:r>
        <w:rPr>
          <w:snapToGrid w:val="0"/>
        </w:rPr>
        <w:t>扰动后土壤侵蚀模数确定</w:t>
      </w:r>
    </w:p>
    <w:p>
      <w:pPr>
        <w:pStyle w:val="43"/>
        <w:ind w:firstLine="480"/>
        <w:rPr>
          <w:rFonts w:hint="eastAsia"/>
        </w:rPr>
      </w:pPr>
      <w:r>
        <w:rPr>
          <w:rFonts w:hint="eastAsia"/>
        </w:rPr>
        <w:t>工程的建设使项目区原地貌用途、形态发生了根本改变，形成不同类型、不同形式的再塑地貌。再塑地貌的水土流失特征在原地貌基础上随之发生了根本性的变化。参照其他工程经验，如果把原地貌的水土流失视为1的话，则再塑地貌土壤侵蚀模数是原地貌的1.4～3.0倍，当年弃土≤4.5倍。根据项目区的气候特征，确定自然恢复期为3年，自然恢复期扰动土壤侵蚀模数逐年递减，在第三年接近或等于原地貌土壤侵蚀模数。</w:t>
      </w:r>
    </w:p>
    <w:p>
      <w:pPr>
        <w:pStyle w:val="43"/>
        <w:ind w:firstLine="480"/>
        <w:rPr>
          <w:rFonts w:hint="eastAsia"/>
        </w:rPr>
      </w:pPr>
      <w:r>
        <w:rPr>
          <w:rFonts w:hint="eastAsia"/>
        </w:rPr>
        <w:t>扰动后的地面土壤侵蚀模数详见表4-1。</w:t>
      </w:r>
    </w:p>
    <w:p>
      <w:pPr>
        <w:pStyle w:val="43"/>
        <w:ind w:firstLine="480"/>
        <w:rPr>
          <w:rFonts w:hint="eastAsia"/>
        </w:rPr>
      </w:pPr>
    </w:p>
    <w:p>
      <w:pPr>
        <w:pStyle w:val="48"/>
      </w:pPr>
      <w:r>
        <w:t>表</w:t>
      </w:r>
      <w:r>
        <w:rPr>
          <w:rFonts w:hint="eastAsia"/>
        </w:rPr>
        <w:t xml:space="preserve">4-1             </w:t>
      </w:r>
      <w:r>
        <w:t>扰动</w:t>
      </w:r>
      <w:r>
        <w:rPr>
          <w:rFonts w:hint="eastAsia"/>
        </w:rPr>
        <w:t>后</w:t>
      </w:r>
      <w:r>
        <w:t>地面土壤侵蚀模数特征值</w:t>
      </w:r>
      <w:r>
        <w:rPr>
          <w:rFonts w:hint="eastAsia"/>
        </w:rPr>
        <w:t xml:space="preserve">               单位：</w:t>
      </w:r>
      <w:r>
        <w:rPr>
          <w:rFonts w:eastAsia="宋体"/>
          <w:kern w:val="0"/>
          <w:sz w:val="21"/>
          <w:szCs w:val="21"/>
        </w:rPr>
        <w:t>t/（km</w:t>
      </w:r>
      <w:r>
        <w:rPr>
          <w:rFonts w:eastAsia="宋体"/>
          <w:kern w:val="0"/>
          <w:sz w:val="21"/>
          <w:szCs w:val="21"/>
          <w:vertAlign w:val="superscript"/>
        </w:rPr>
        <w:t>2</w:t>
      </w:r>
      <w:r>
        <w:rPr>
          <w:rFonts w:eastAsia="宋体"/>
          <w:kern w:val="0"/>
          <w:sz w:val="21"/>
          <w:szCs w:val="21"/>
        </w:rPr>
        <w:t>·a）</w:t>
      </w:r>
    </w:p>
    <w:tbl>
      <w:tblPr>
        <w:tblStyle w:val="2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433"/>
        <w:gridCol w:w="2758"/>
        <w:gridCol w:w="934"/>
        <w:gridCol w:w="1016"/>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时段</w:t>
            </w:r>
          </w:p>
        </w:tc>
        <w:tc>
          <w:tcPr>
            <w:tcW w:w="1433"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预测区域</w:t>
            </w:r>
          </w:p>
        </w:tc>
        <w:tc>
          <w:tcPr>
            <w:tcW w:w="2758"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原地貌侵蚀模数（t/km2•a）</w:t>
            </w:r>
          </w:p>
        </w:tc>
        <w:tc>
          <w:tcPr>
            <w:tcW w:w="2968" w:type="dxa"/>
            <w:gridSpan w:val="3"/>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扰动后的侵蚀模数（t/km2•a）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restart"/>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建设期</w:t>
            </w: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continue"/>
            <w:noWrap w:val="0"/>
            <w:vAlign w:val="center"/>
          </w:tcPr>
          <w:p>
            <w:pPr>
              <w:jc w:val="center"/>
              <w:rPr>
                <w:rFonts w:hint="eastAsia" w:ascii="宋体" w:hAnsi="宋体" w:eastAsia="宋体" w:cs="宋体"/>
                <w:color w:val="auto"/>
                <w:sz w:val="21"/>
                <w:szCs w:val="21"/>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275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2968" w:type="dxa"/>
            <w:gridSpan w:val="3"/>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63" w:type="dxa"/>
            <w:vMerge w:val="restart"/>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自然恢复期</w:t>
            </w:r>
          </w:p>
        </w:tc>
        <w:tc>
          <w:tcPr>
            <w:tcW w:w="1433"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工业场地</w:t>
            </w:r>
          </w:p>
        </w:tc>
        <w:tc>
          <w:tcPr>
            <w:tcW w:w="275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63" w:type="dxa"/>
            <w:vMerge w:val="continue"/>
            <w:noWrap w:val="0"/>
            <w:vAlign w:val="center"/>
          </w:tcPr>
          <w:p>
            <w:pPr>
              <w:jc w:val="center"/>
              <w:rPr>
                <w:rFonts w:hint="eastAsia" w:ascii="宋体" w:hAnsi="宋体" w:eastAsia="宋体" w:cs="宋体"/>
                <w:color w:val="auto"/>
                <w:sz w:val="21"/>
                <w:szCs w:val="21"/>
                <w:lang w:val="en-US" w:eastAsia="zh-CN"/>
              </w:rPr>
            </w:pPr>
          </w:p>
        </w:tc>
        <w:tc>
          <w:tcPr>
            <w:tcW w:w="1433" w:type="dxa"/>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275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c>
          <w:tcPr>
            <w:tcW w:w="934"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2300</w:t>
            </w:r>
          </w:p>
        </w:tc>
        <w:tc>
          <w:tcPr>
            <w:tcW w:w="1016"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1800</w:t>
            </w:r>
          </w:p>
        </w:tc>
        <w:tc>
          <w:tcPr>
            <w:tcW w:w="1018" w:type="dxa"/>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1500</w:t>
            </w:r>
          </w:p>
        </w:tc>
      </w:tr>
    </w:tbl>
    <w:p>
      <w:pPr>
        <w:pStyle w:val="43"/>
        <w:ind w:firstLine="480"/>
        <w:rPr>
          <w:snapToGrid w:val="0"/>
          <w:kern w:val="0"/>
        </w:rPr>
      </w:pPr>
      <w:r>
        <w:rPr>
          <w:rFonts w:hint="eastAsia"/>
          <w:snapToGrid w:val="0"/>
          <w:kern w:val="0"/>
        </w:rPr>
        <w:t>e)预测结果</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-2</w:t>
      </w:r>
      <w:r>
        <w:rPr>
          <w:rFonts w:ascii="Times New Roman" w:hAnsi="Times New Roman" w:eastAsia="仿宋_GB2312"/>
          <w:b/>
          <w:bCs/>
          <w:sz w:val="24"/>
        </w:rPr>
        <w:t xml:space="preserve">  水土流失预测时段一览表</w:t>
      </w:r>
    </w:p>
    <w:tbl>
      <w:tblPr>
        <w:tblStyle w:val="24"/>
        <w:tblW w:w="890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0"/>
        <w:gridCol w:w="1616"/>
        <w:gridCol w:w="1390"/>
        <w:gridCol w:w="1853"/>
        <w:gridCol w:w="1388"/>
        <w:gridCol w:w="112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tcBorders>
              <w:tl2br w:val="nil"/>
              <w:tr2bl w:val="nil"/>
            </w:tcBorders>
            <w:noWrap w:val="0"/>
            <w:vAlign w:val="center"/>
          </w:tcPr>
          <w:p>
            <w:pPr>
              <w:jc w:val="center"/>
              <w:rPr>
                <w:rFonts w:hint="eastAsia" w:ascii="宋体" w:hAnsi="宋体" w:eastAsia="宋体" w:cs="宋体"/>
                <w:color w:val="auto"/>
                <w:sz w:val="21"/>
                <w:szCs w:val="21"/>
              </w:rPr>
            </w:pPr>
            <w:bookmarkStart w:id="12" w:name="_Toc358970428"/>
            <w:bookmarkStart w:id="13" w:name="_Toc273284475"/>
            <w:bookmarkStart w:id="14" w:name="_Toc264551691"/>
            <w:bookmarkStart w:id="15" w:name="_Toc363494231"/>
            <w:bookmarkStart w:id="16" w:name="_Toc380154352"/>
            <w:bookmarkStart w:id="17" w:name="_Toc276848021"/>
            <w:bookmarkStart w:id="18" w:name="_Toc168466794"/>
            <w:bookmarkStart w:id="19" w:name="_Toc306357290"/>
            <w:bookmarkStart w:id="20" w:name="_Toc264653469"/>
            <w:bookmarkStart w:id="21" w:name="_Toc168466430"/>
            <w:bookmarkStart w:id="22" w:name="_Toc280363033"/>
            <w:bookmarkStart w:id="23" w:name="_Toc187046104"/>
            <w:bookmarkStart w:id="24" w:name="_Toc280363965"/>
            <w:bookmarkStart w:id="25" w:name="_Toc280364080"/>
            <w:bookmarkStart w:id="26" w:name="_Toc200935098"/>
            <w:r>
              <w:rPr>
                <w:rFonts w:hint="eastAsia" w:ascii="宋体" w:hAnsi="宋体" w:eastAsia="宋体" w:cs="宋体"/>
                <w:color w:val="auto"/>
                <w:sz w:val="21"/>
                <w:szCs w:val="21"/>
              </w:rPr>
              <w:t>时段</w:t>
            </w:r>
          </w:p>
        </w:tc>
        <w:tc>
          <w:tcPr>
            <w:tcW w:w="1616"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项目分区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预测形式</w:t>
            </w:r>
          </w:p>
        </w:tc>
        <w:tc>
          <w:tcPr>
            <w:tcW w:w="185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预测时段</w:t>
            </w:r>
          </w:p>
        </w:tc>
        <w:tc>
          <w:tcPr>
            <w:tcW w:w="1388"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预测面积</w:t>
            </w: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（h</w:t>
            </w:r>
            <w:r>
              <w:rPr>
                <w:rFonts w:hint="eastAsia" w:ascii="宋体" w:hAnsi="宋体" w:eastAsia="宋体" w:cs="宋体"/>
                <w:color w:val="auto"/>
                <w:sz w:val="21"/>
                <w:szCs w:val="21"/>
                <w:lang w:eastAsia="zh-CN"/>
              </w:rPr>
              <w:t>m²</w:t>
            </w:r>
            <w:r>
              <w:rPr>
                <w:rFonts w:hint="eastAsia" w:ascii="宋体" w:hAnsi="宋体" w:eastAsia="宋体" w:cs="宋体"/>
                <w:color w:val="auto"/>
                <w:sz w:val="21"/>
                <w:szCs w:val="21"/>
              </w:rPr>
              <w:t>）</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时间（a）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建设期</w:t>
            </w: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2018.10-2019.6</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1.51</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0.66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lang w:eastAsia="zh-CN"/>
              </w:rPr>
            </w:pP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2018.10-2019.6</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0.2</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0.66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vMerge w:val="restart"/>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自然恢复期</w:t>
            </w:r>
          </w:p>
        </w:tc>
        <w:tc>
          <w:tcPr>
            <w:tcW w:w="1616" w:type="dxa"/>
            <w:tcBorders>
              <w:tl2br w:val="nil"/>
              <w:tr2bl w:val="nil"/>
            </w:tcBorders>
            <w:noWrap w:val="0"/>
            <w:vAlign w:val="center"/>
          </w:tcPr>
          <w:p>
            <w:pPr>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lang w:eastAsia="zh-CN"/>
              </w:rPr>
              <w:t>工业场地</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2018.10-2019.6</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0.01</w:t>
            </w:r>
          </w:p>
        </w:tc>
        <w:tc>
          <w:tcPr>
            <w:tcW w:w="1123"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vMerge w:val="continue"/>
            <w:tcBorders>
              <w:tl2br w:val="nil"/>
              <w:tr2bl w:val="nil"/>
            </w:tcBorders>
            <w:noWrap w:val="0"/>
            <w:vAlign w:val="center"/>
          </w:tcPr>
          <w:p>
            <w:pPr>
              <w:jc w:val="center"/>
              <w:rPr>
                <w:rFonts w:hint="eastAsia" w:ascii="宋体" w:hAnsi="宋体" w:eastAsia="宋体" w:cs="宋体"/>
                <w:color w:val="auto"/>
                <w:sz w:val="21"/>
                <w:szCs w:val="21"/>
                <w:lang w:eastAsia="zh-CN"/>
              </w:rPr>
            </w:pPr>
          </w:p>
        </w:tc>
        <w:tc>
          <w:tcPr>
            <w:tcW w:w="1616" w:type="dxa"/>
            <w:tcBorders>
              <w:tl2br w:val="nil"/>
              <w:tr2bl w:val="nil"/>
            </w:tcBorders>
            <w:noWrap w:val="0"/>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办公生活区</w:t>
            </w:r>
          </w:p>
        </w:tc>
        <w:tc>
          <w:tcPr>
            <w:tcW w:w="1390" w:type="dxa"/>
            <w:tcBorders>
              <w:tl2br w:val="nil"/>
              <w:tr2bl w:val="nil"/>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定量定性</w:t>
            </w:r>
          </w:p>
        </w:tc>
        <w:tc>
          <w:tcPr>
            <w:tcW w:w="1853" w:type="dxa"/>
            <w:tcBorders>
              <w:tl2br w:val="nil"/>
              <w:tr2bl w:val="nil"/>
            </w:tcBorders>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2018.10-2019.6</w:t>
            </w:r>
          </w:p>
        </w:tc>
        <w:tc>
          <w:tcPr>
            <w:tcW w:w="1388"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0.01</w:t>
            </w:r>
          </w:p>
        </w:tc>
        <w:tc>
          <w:tcPr>
            <w:tcW w:w="1123" w:type="dxa"/>
            <w:tcBorders>
              <w:tl2br w:val="nil"/>
              <w:tr2bl w:val="nil"/>
            </w:tcBorders>
            <w:noWrap w:val="0"/>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3.0</w:t>
            </w:r>
          </w:p>
        </w:tc>
      </w:t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tbl>
    <w:p>
      <w:pPr>
        <w:pStyle w:val="43"/>
        <w:ind w:firstLine="480"/>
        <w:rPr>
          <w:snapToGrid w:val="0"/>
          <w:kern w:val="0"/>
        </w:rPr>
      </w:pPr>
      <w:r>
        <w:rPr>
          <w:snapToGrid w:val="0"/>
          <w:kern w:val="0"/>
        </w:rPr>
        <w:t>根据各分区在施工期及自然恢复期水土流失量的预测可知，本工程建设可能造成的水土流失总量为</w:t>
      </w:r>
      <w:r>
        <w:rPr>
          <w:rFonts w:hint="eastAsia"/>
          <w:snapToGrid w:val="0"/>
          <w:kern w:val="0"/>
          <w:lang w:val="en-US" w:eastAsia="zh-CN"/>
        </w:rPr>
        <w:t>27.08</w:t>
      </w:r>
      <w:r>
        <w:rPr>
          <w:snapToGrid w:val="0"/>
          <w:kern w:val="0"/>
        </w:rPr>
        <w:t>t，新增水土流失量</w:t>
      </w:r>
      <w:r>
        <w:rPr>
          <w:rFonts w:hint="eastAsia"/>
          <w:snapToGrid w:val="0"/>
          <w:kern w:val="0"/>
          <w:lang w:val="en-US" w:eastAsia="zh-CN"/>
        </w:rPr>
        <w:t>9.25t</w:t>
      </w:r>
      <w:r>
        <w:rPr>
          <w:snapToGrid w:val="0"/>
          <w:kern w:val="0"/>
        </w:rPr>
        <w:t>。</w:t>
      </w:r>
    </w:p>
    <w:p>
      <w:pPr>
        <w:rPr>
          <w:rFonts w:ascii="Times New Roman" w:hAnsi="Times New Roman" w:eastAsia="仿宋_GB2312"/>
          <w:b/>
          <w:bCs/>
          <w:sz w:val="24"/>
        </w:rPr>
      </w:pPr>
      <w:r>
        <w:rPr>
          <w:rFonts w:ascii="Times New Roman" w:hAnsi="Times New Roman" w:eastAsia="仿宋_GB2312"/>
          <w:b/>
          <w:bCs/>
          <w:sz w:val="24"/>
        </w:rPr>
        <w:br w:type="page"/>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w:t>
      </w:r>
      <w:r>
        <w:rPr>
          <w:rFonts w:hint="eastAsia" w:eastAsia="仿宋_GB2312"/>
          <w:b/>
          <w:bCs/>
          <w:sz w:val="24"/>
          <w:lang w:val="en-US" w:eastAsia="zh-CN"/>
        </w:rPr>
        <w:t>3</w:t>
      </w:r>
      <w:r>
        <w:rPr>
          <w:rFonts w:hint="eastAsia" w:ascii="Times New Roman" w:hAnsi="Times New Roman" w:eastAsia="仿宋_GB2312"/>
          <w:b/>
          <w:bCs/>
          <w:sz w:val="24"/>
          <w:lang w:val="en-US" w:eastAsia="zh-CN"/>
        </w:rPr>
        <w:t xml:space="preserve"> </w:t>
      </w:r>
      <w:r>
        <w:rPr>
          <w:rFonts w:ascii="Times New Roman" w:hAnsi="Times New Roman" w:eastAsia="仿宋_GB2312"/>
          <w:b/>
          <w:bCs/>
          <w:sz w:val="24"/>
        </w:rPr>
        <w:t xml:space="preserve"> </w:t>
      </w:r>
      <w:r>
        <w:rPr>
          <w:rFonts w:hint="eastAsia" w:ascii="Times New Roman" w:hAnsi="Times New Roman" w:eastAsia="仿宋_GB2312"/>
          <w:b/>
          <w:bCs/>
          <w:sz w:val="24"/>
        </w:rPr>
        <w:t>建设期</w:t>
      </w:r>
      <w:r>
        <w:rPr>
          <w:rFonts w:hint="eastAsia" w:eastAsia="仿宋_GB2312"/>
          <w:b/>
          <w:bCs/>
          <w:sz w:val="24"/>
          <w:lang w:eastAsia="zh-CN"/>
        </w:rPr>
        <w:t>、</w:t>
      </w:r>
      <w:r>
        <w:rPr>
          <w:rFonts w:hint="eastAsia" w:ascii="Times New Roman" w:hAnsi="Times New Roman" w:eastAsia="仿宋_GB2312"/>
          <w:b/>
          <w:bCs/>
          <w:sz w:val="24"/>
        </w:rPr>
        <w:t>自然恢复期土壤流失量预测表</w:t>
      </w:r>
    </w:p>
    <w:tbl>
      <w:tblPr>
        <w:tblStyle w:val="24"/>
        <w:tblW w:w="882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63"/>
        <w:gridCol w:w="1044"/>
        <w:gridCol w:w="730"/>
        <w:gridCol w:w="958"/>
        <w:gridCol w:w="644"/>
        <w:gridCol w:w="750"/>
        <w:gridCol w:w="688"/>
        <w:gridCol w:w="668"/>
        <w:gridCol w:w="858"/>
        <w:gridCol w:w="930"/>
        <w:gridCol w:w="9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90" w:hRule="atLeast"/>
          <w:jc w:val="center"/>
        </w:trPr>
        <w:tc>
          <w:tcPr>
            <w:tcW w:w="563"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时段</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区域</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面积</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(hm²)</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土壤侵</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蚀模数</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(t/km²·a)</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扰动后土壤侵蚀模数(t/km²·a)</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时间</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(a)</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新增土</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壤流失</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量(t)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建</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设</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1.51</w:t>
            </w:r>
          </w:p>
        </w:tc>
        <w:tc>
          <w:tcPr>
            <w:tcW w:w="95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0.66</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14.95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22.92</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7.97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办公生活区</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0.2</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1500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2300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0.66</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1.98</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3.04</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1.06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0" w:hRule="atLeast"/>
          <w:jc w:val="center"/>
        </w:trPr>
        <w:tc>
          <w:tcPr>
            <w:tcW w:w="563"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自</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然</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恢</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复</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工业场地</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default" w:eastAsia="仿宋_GB2312"/>
                <w:kern w:val="0"/>
                <w:sz w:val="20"/>
                <w:szCs w:val="20"/>
                <w:lang w:val="en-US" w:eastAsia="zh-CN"/>
              </w:rPr>
              <w:t>0.</w:t>
            </w:r>
            <w:r>
              <w:rPr>
                <w:rFonts w:hint="eastAsia" w:eastAsia="仿宋_GB2312"/>
                <w:kern w:val="0"/>
                <w:sz w:val="20"/>
                <w:szCs w:val="20"/>
                <w:lang w:val="en-US" w:eastAsia="zh-CN"/>
              </w:rPr>
              <w:t>01</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0.45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0.56</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0.11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0" w:hRule="atLeast"/>
          <w:jc w:val="center"/>
        </w:trPr>
        <w:tc>
          <w:tcPr>
            <w:tcW w:w="563"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44"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办公生活区</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eastAsia="仿宋_GB2312"/>
                <w:kern w:val="0"/>
                <w:sz w:val="20"/>
                <w:szCs w:val="20"/>
                <w:lang w:val="en-US" w:eastAsia="zh-CN"/>
              </w:rPr>
            </w:pPr>
            <w:r>
              <w:rPr>
                <w:rFonts w:hint="eastAsia" w:eastAsia="仿宋_GB2312"/>
                <w:kern w:val="0"/>
                <w:sz w:val="20"/>
                <w:szCs w:val="20"/>
                <w:lang w:val="en-US" w:eastAsia="zh-CN"/>
              </w:rPr>
              <w:t>0.01</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1500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2300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1800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val="en-US" w:eastAsia="zh-CN"/>
              </w:rPr>
            </w:pPr>
            <w:r>
              <w:rPr>
                <w:rFonts w:hint="eastAsia" w:eastAsia="仿宋_GB2312"/>
                <w:kern w:val="0"/>
                <w:sz w:val="20"/>
                <w:szCs w:val="20"/>
                <w:lang w:val="en-US" w:eastAsia="zh-CN"/>
              </w:rPr>
              <w:t>1500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0.45</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0.56</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0.11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8" w:hRule="atLeast"/>
          <w:jc w:val="center"/>
        </w:trPr>
        <w:tc>
          <w:tcPr>
            <w:tcW w:w="1607" w:type="dxa"/>
            <w:gridSpan w:val="2"/>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合 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17.83</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27.08</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9.25</w:t>
            </w:r>
          </w:p>
        </w:tc>
      </w:tr>
    </w:tbl>
    <w:p>
      <w:pPr>
        <w:pStyle w:val="37"/>
      </w:pPr>
      <w:r>
        <w:rPr>
          <w:rFonts w:hint="eastAsia"/>
        </w:rPr>
        <w:t>5防治责任范围</w:t>
      </w:r>
    </w:p>
    <w:p>
      <w:pPr>
        <w:pStyle w:val="40"/>
        <w:ind w:firstLine="480"/>
      </w:pPr>
      <w:r>
        <w:t>根据《生产建设项目水土</w:t>
      </w:r>
      <w:r>
        <w:rPr>
          <w:rFonts w:hint="eastAsia"/>
        </w:rPr>
        <w:t>保持技术标准</w:t>
      </w:r>
      <w:r>
        <w:t>》（GB5043</w:t>
      </w:r>
      <w:r>
        <w:rPr>
          <w:rFonts w:hint="eastAsia"/>
        </w:rPr>
        <w:t>3</w:t>
      </w:r>
      <w:r>
        <w:t>-2018），</w:t>
      </w:r>
      <w:r>
        <w:rPr>
          <w:rFonts w:hint="eastAsia"/>
          <w:lang w:eastAsia="zh-CN"/>
        </w:rPr>
        <w:t>曲沃县宏都矿业有限公司年加工20万吨铁精粉建设项目</w:t>
      </w:r>
      <w:r>
        <w:rPr>
          <w:rFonts w:hint="eastAsia"/>
        </w:rPr>
        <w:t>工程</w:t>
      </w:r>
      <w:r>
        <w:rPr>
          <w:rFonts w:hint="eastAsia"/>
          <w:snapToGrid w:val="0"/>
        </w:rPr>
        <w:t>水土流失防治责任范围为</w:t>
      </w:r>
      <w:r>
        <w:rPr>
          <w:rFonts w:hint="eastAsia"/>
          <w:snapToGrid w:val="0"/>
          <w:lang w:val="en-US" w:eastAsia="zh-CN"/>
        </w:rPr>
        <w:t>1.72</w:t>
      </w:r>
      <w:r>
        <w:rPr>
          <w:rFonts w:hint="eastAsia"/>
          <w:snapToGrid w:val="0"/>
        </w:rPr>
        <w:t>hm</w:t>
      </w:r>
      <w:r>
        <w:rPr>
          <w:rFonts w:hint="eastAsia"/>
          <w:snapToGrid w:val="0"/>
          <w:vertAlign w:val="superscript"/>
        </w:rPr>
        <w:t>2</w:t>
      </w:r>
      <w:r>
        <w:rPr>
          <w:rFonts w:hint="eastAsia"/>
          <w:snapToGrid w:val="0"/>
        </w:rPr>
        <w:t>。</w:t>
      </w:r>
    </w:p>
    <w:p>
      <w:pPr>
        <w:pStyle w:val="37"/>
      </w:pPr>
      <w:bookmarkStart w:id="27" w:name="_Toc510511014"/>
      <w:bookmarkStart w:id="28" w:name="_Toc1117821"/>
      <w:bookmarkStart w:id="29" w:name="_Toc501443569"/>
      <w:r>
        <w:rPr>
          <w:rFonts w:hint="eastAsia"/>
        </w:rPr>
        <w:t>6 防治标准等级及目标</w:t>
      </w:r>
      <w:bookmarkEnd w:id="27"/>
      <w:bookmarkEnd w:id="28"/>
      <w:bookmarkEnd w:id="29"/>
    </w:p>
    <w:p>
      <w:pPr>
        <w:pStyle w:val="35"/>
        <w:rPr>
          <w:rFonts w:ascii="Times New Roman" w:hAnsi="Times New Roman"/>
        </w:rPr>
      </w:pPr>
      <w:r>
        <w:rPr>
          <w:rFonts w:hint="eastAsia"/>
          <w:b w:val="0"/>
          <w:bCs/>
        </w:rPr>
        <w:t>6.1</w:t>
      </w:r>
      <w:r>
        <w:rPr>
          <w:rFonts w:ascii="Times New Roman" w:hAnsi="Times New Roman"/>
        </w:rPr>
        <w:t xml:space="preserve"> 执行标准等级</w:t>
      </w:r>
    </w:p>
    <w:p>
      <w:pPr>
        <w:pStyle w:val="43"/>
        <w:ind w:firstLine="480"/>
      </w:pPr>
      <w:r>
        <w:t>本工程所在的</w:t>
      </w:r>
      <w:r>
        <w:rPr>
          <w:rFonts w:hint="eastAsia"/>
          <w:lang w:eastAsia="zh-CN"/>
        </w:rPr>
        <w:t>曲沃县</w:t>
      </w:r>
      <w:r>
        <w:t>属于省级水土流失</w:t>
      </w:r>
      <w:r>
        <w:rPr>
          <w:rFonts w:hint="eastAsia"/>
          <w:lang w:eastAsia="zh-CN"/>
        </w:rPr>
        <w:t>重点预防保护区</w:t>
      </w:r>
      <w:r>
        <w:t>，根据《生产建设项目水土流失防治标准》（GB/T50434-2018），确定水土流失防治执行生产建设项目一级标准。</w:t>
      </w:r>
    </w:p>
    <w:p>
      <w:pPr>
        <w:pStyle w:val="35"/>
        <w:rPr>
          <w:rFonts w:ascii="Times New Roman" w:hAnsi="Times New Roman"/>
        </w:rPr>
      </w:pPr>
      <w:r>
        <w:rPr>
          <w:rFonts w:hint="eastAsia" w:ascii="Times New Roman" w:hAnsi="Times New Roman"/>
        </w:rPr>
        <w:t>6</w:t>
      </w:r>
      <w:r>
        <w:rPr>
          <w:rFonts w:ascii="Times New Roman" w:hAnsi="Times New Roman"/>
        </w:rPr>
        <w:t>.2 防治目标</w:t>
      </w:r>
    </w:p>
    <w:p>
      <w:pPr>
        <w:pStyle w:val="43"/>
        <w:adjustRightInd/>
        <w:snapToGrid/>
        <w:ind w:firstLine="480"/>
        <w:rPr>
          <w:bCs/>
        </w:rPr>
      </w:pPr>
      <w:r>
        <w:rPr>
          <w:bCs/>
        </w:rPr>
        <w:t>a）项目建设范围内的新增水土流失应得到有效控制，原有水土流失得到治理；</w:t>
      </w:r>
    </w:p>
    <w:p>
      <w:pPr>
        <w:pStyle w:val="43"/>
        <w:adjustRightInd/>
        <w:snapToGrid/>
        <w:ind w:firstLine="480"/>
        <w:rPr>
          <w:bCs/>
        </w:rPr>
      </w:pPr>
      <w:r>
        <w:rPr>
          <w:bCs/>
        </w:rPr>
        <w:t>b）水土保持设施应安全有效；</w:t>
      </w:r>
    </w:p>
    <w:p>
      <w:pPr>
        <w:pStyle w:val="43"/>
        <w:adjustRightInd/>
        <w:snapToGrid/>
        <w:ind w:firstLine="480"/>
        <w:rPr>
          <w:bCs/>
        </w:rPr>
      </w:pPr>
      <w:r>
        <w:rPr>
          <w:bCs/>
        </w:rPr>
        <w:t>c）水土资源、林草植被应得到最大限度的保护与恢复；</w:t>
      </w:r>
    </w:p>
    <w:p>
      <w:pPr>
        <w:pStyle w:val="43"/>
        <w:adjustRightInd/>
        <w:snapToGrid/>
        <w:ind w:firstLine="480"/>
        <w:rPr>
          <w:bCs/>
        </w:rPr>
      </w:pPr>
      <w:r>
        <w:rPr>
          <w:bCs/>
        </w:rPr>
        <w:t>d）6项指标达到防治标准规定的要求</w:t>
      </w:r>
    </w:p>
    <w:p>
      <w:pPr>
        <w:pStyle w:val="43"/>
        <w:adjustRightInd/>
        <w:snapToGrid/>
        <w:ind w:firstLine="480"/>
        <w:rPr>
          <w:bCs/>
        </w:rPr>
      </w:pPr>
      <w:r>
        <w:rPr>
          <w:bCs/>
        </w:rPr>
        <w:t>1）水土流失总治理度</w:t>
      </w:r>
    </w:p>
    <w:p>
      <w:pPr>
        <w:pStyle w:val="43"/>
        <w:adjustRightInd/>
        <w:snapToGrid/>
        <w:ind w:firstLine="480"/>
        <w:rPr>
          <w:bCs/>
        </w:rPr>
      </w:pPr>
      <w:r>
        <w:rPr>
          <w:bCs/>
        </w:rPr>
        <w:t>项目水土流失防治责任范围内水土流失治理达标面积占水土流失总面积的93%以上。</w:t>
      </w:r>
    </w:p>
    <w:p>
      <w:pPr>
        <w:pStyle w:val="43"/>
        <w:adjustRightInd/>
        <w:snapToGrid/>
        <w:ind w:firstLine="480"/>
        <w:rPr>
          <w:bCs/>
        </w:rPr>
      </w:pPr>
      <w:r>
        <w:rPr>
          <w:bCs/>
        </w:rPr>
        <w:t>2）土壤流失控制比</w:t>
      </w:r>
    </w:p>
    <w:p>
      <w:pPr>
        <w:pStyle w:val="43"/>
        <w:adjustRightInd/>
        <w:snapToGrid/>
        <w:ind w:firstLine="480"/>
        <w:rPr>
          <w:bCs/>
        </w:rPr>
      </w:pPr>
      <w:r>
        <w:rPr>
          <w:bCs/>
        </w:rPr>
        <w:t>项目水土流失防治责任范围内容许土壤流失量与治理后每平方公里年平均土壤流失量之比为1.0。</w:t>
      </w:r>
    </w:p>
    <w:p>
      <w:pPr>
        <w:pStyle w:val="43"/>
        <w:adjustRightInd/>
        <w:snapToGrid/>
        <w:ind w:firstLine="480"/>
        <w:rPr>
          <w:bCs/>
        </w:rPr>
      </w:pPr>
      <w:r>
        <w:rPr>
          <w:bCs/>
        </w:rPr>
        <w:t>3）渣土防护率</w:t>
      </w:r>
    </w:p>
    <w:p>
      <w:pPr>
        <w:pStyle w:val="43"/>
        <w:adjustRightInd/>
        <w:snapToGrid/>
        <w:ind w:firstLine="480"/>
        <w:rPr>
          <w:bCs/>
        </w:rPr>
      </w:pPr>
      <w:r>
        <w:rPr>
          <w:bCs/>
        </w:rPr>
        <w:t>项目水土流失防治责任范围内采取措施实际挡护的永久弃渣、临时堆土数量占永久弃渣和临时堆土总量的92%以上。</w:t>
      </w:r>
    </w:p>
    <w:p>
      <w:pPr>
        <w:pStyle w:val="43"/>
        <w:adjustRightInd/>
        <w:snapToGrid/>
        <w:ind w:firstLine="480"/>
        <w:rPr>
          <w:bCs/>
        </w:rPr>
      </w:pPr>
      <w:r>
        <w:rPr>
          <w:bCs/>
        </w:rPr>
        <w:t>4）表土保护率</w:t>
      </w:r>
    </w:p>
    <w:p>
      <w:pPr>
        <w:pStyle w:val="43"/>
        <w:adjustRightInd/>
        <w:snapToGrid/>
        <w:ind w:firstLine="480"/>
        <w:rPr>
          <w:rFonts w:hint="eastAsia" w:eastAsia="宋体"/>
          <w:bCs/>
          <w:lang w:eastAsia="zh-CN"/>
        </w:rPr>
      </w:pPr>
      <w:r>
        <w:rPr>
          <w:rFonts w:hint="eastAsia"/>
          <w:bCs/>
        </w:rPr>
        <w:t>本项目主体已建设完毕为补报项目，表土防护率指标本方案不进行评价</w:t>
      </w:r>
      <w:r>
        <w:rPr>
          <w:rFonts w:hint="eastAsia"/>
          <w:bCs/>
          <w:lang w:eastAsia="zh-CN"/>
        </w:rPr>
        <w:t>。</w:t>
      </w:r>
    </w:p>
    <w:p>
      <w:pPr>
        <w:pStyle w:val="43"/>
        <w:adjustRightInd/>
        <w:snapToGrid/>
        <w:ind w:firstLine="480"/>
        <w:rPr>
          <w:bCs/>
        </w:rPr>
      </w:pPr>
      <w:r>
        <w:rPr>
          <w:bCs/>
        </w:rPr>
        <w:t>5）林草植被恢复率</w:t>
      </w:r>
    </w:p>
    <w:p>
      <w:pPr>
        <w:pStyle w:val="43"/>
        <w:adjustRightInd/>
        <w:snapToGrid/>
        <w:ind w:firstLine="480"/>
        <w:rPr>
          <w:bCs/>
        </w:rPr>
      </w:pPr>
      <w:r>
        <w:rPr>
          <w:bCs/>
        </w:rPr>
        <w:t>项目水土流失防治责任范围内林草类植被面积占可恢复林草植被面积的95%以上。</w:t>
      </w:r>
    </w:p>
    <w:p>
      <w:pPr>
        <w:pStyle w:val="43"/>
        <w:adjustRightInd/>
        <w:snapToGrid/>
        <w:ind w:firstLine="480"/>
        <w:rPr>
          <w:bCs/>
        </w:rPr>
      </w:pPr>
      <w:r>
        <w:rPr>
          <w:bCs/>
        </w:rPr>
        <w:t>6）林草覆盖率</w:t>
      </w:r>
    </w:p>
    <w:p>
      <w:pPr>
        <w:pStyle w:val="43"/>
        <w:adjustRightInd/>
        <w:snapToGrid/>
        <w:ind w:firstLine="480"/>
        <w:rPr>
          <w:bCs/>
        </w:rPr>
      </w:pPr>
      <w:r>
        <w:rPr>
          <w:rFonts w:hint="eastAsia"/>
          <w:bCs/>
        </w:rPr>
        <w:t>因场地功能限制无法提高林草覆盖率</w:t>
      </w:r>
      <w:r>
        <w:rPr>
          <w:rFonts w:hint="eastAsia"/>
          <w:bCs/>
          <w:lang w:eastAsia="zh-CN"/>
        </w:rPr>
        <w:t>，绿化措施林草覆盖率减少14%，故</w:t>
      </w:r>
      <w:r>
        <w:rPr>
          <w:bCs/>
        </w:rPr>
        <w:t>项目水土流失防治责任范围内林草类植被面积占总面积的</w:t>
      </w:r>
      <w:r>
        <w:rPr>
          <w:rFonts w:hint="eastAsia"/>
          <w:bCs/>
          <w:lang w:val="en-US" w:eastAsia="zh-CN"/>
        </w:rPr>
        <w:t>11</w:t>
      </w:r>
      <w:r>
        <w:rPr>
          <w:bCs/>
        </w:rPr>
        <w:t>%以上。</w:t>
      </w:r>
    </w:p>
    <w:p>
      <w:pPr>
        <w:pStyle w:val="43"/>
        <w:adjustRightInd/>
        <w:snapToGrid/>
        <w:ind w:firstLine="480"/>
        <w:rPr>
          <w:snapToGrid w:val="0"/>
          <w:lang w:val="zh-CN"/>
        </w:rPr>
      </w:pPr>
      <w:r>
        <w:rPr>
          <w:snapToGrid w:val="0"/>
          <w:lang w:val="zh-CN"/>
        </w:rPr>
        <w:t>防治目标详见表</w:t>
      </w:r>
      <w:r>
        <w:rPr>
          <w:rFonts w:hint="eastAsia"/>
          <w:snapToGrid w:val="0"/>
          <w:lang w:val="zh-CN"/>
        </w:rPr>
        <w:t>6</w:t>
      </w:r>
      <w:r>
        <w:rPr>
          <w:snapToGrid w:val="0"/>
          <w:lang w:val="zh-CN"/>
        </w:rPr>
        <w:t>-1。</w:t>
      </w:r>
    </w:p>
    <w:p>
      <w:pPr>
        <w:pStyle w:val="48"/>
        <w:rPr>
          <w:snapToGrid w:val="0"/>
          <w:lang w:val="zh-CN"/>
        </w:rPr>
      </w:pPr>
      <w:r>
        <w:rPr>
          <w:snapToGrid w:val="0"/>
          <w:lang w:val="zh-CN"/>
        </w:rPr>
        <w:t>表</w:t>
      </w:r>
      <w:r>
        <w:rPr>
          <w:rFonts w:hint="eastAsia"/>
          <w:snapToGrid w:val="0"/>
          <w:lang w:val="zh-CN"/>
        </w:rPr>
        <w:t>6</w:t>
      </w:r>
      <w:r>
        <w:rPr>
          <w:snapToGrid w:val="0"/>
        </w:rPr>
        <w:t>-1</w:t>
      </w:r>
      <w:r>
        <w:rPr>
          <w:snapToGrid w:val="0"/>
        </w:rPr>
        <w:tab/>
      </w:r>
      <w:r>
        <w:rPr>
          <w:snapToGrid w:val="0"/>
          <w:lang w:val="zh-CN"/>
        </w:rPr>
        <w:t>水土流失防治目标表</w:t>
      </w:r>
    </w:p>
    <w:tbl>
      <w:tblPr>
        <w:tblStyle w:val="24"/>
        <w:tblW w:w="9116" w:type="dxa"/>
        <w:tblInd w:w="0" w:type="dxa"/>
        <w:tblLayout w:type="fixed"/>
        <w:tblCellMar>
          <w:top w:w="0" w:type="dxa"/>
          <w:left w:w="108" w:type="dxa"/>
          <w:bottom w:w="0" w:type="dxa"/>
          <w:right w:w="108" w:type="dxa"/>
        </w:tblCellMar>
      </w:tblPr>
      <w:tblGrid>
        <w:gridCol w:w="699"/>
        <w:gridCol w:w="2613"/>
        <w:gridCol w:w="1094"/>
        <w:gridCol w:w="1599"/>
        <w:gridCol w:w="2016"/>
        <w:gridCol w:w="1095"/>
      </w:tblGrid>
      <w:tr>
        <w:tblPrEx>
          <w:tblCellMar>
            <w:top w:w="0" w:type="dxa"/>
            <w:left w:w="108" w:type="dxa"/>
            <w:bottom w:w="0" w:type="dxa"/>
            <w:right w:w="108" w:type="dxa"/>
          </w:tblCellMar>
        </w:tblPrEx>
        <w:trPr>
          <w:trHeight w:val="402" w:hRule="atLeast"/>
        </w:trPr>
        <w:tc>
          <w:tcPr>
            <w:tcW w:w="69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rPr>
            </w:pPr>
            <w:r>
              <w:rPr>
                <w:kern w:val="0"/>
              </w:rPr>
              <w:t>序号</w:t>
            </w:r>
          </w:p>
        </w:tc>
        <w:tc>
          <w:tcPr>
            <w:tcW w:w="261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0"/>
              <w:rPr>
                <w:kern w:val="0"/>
              </w:rPr>
            </w:pPr>
            <w:r>
              <w:rPr>
                <w:kern w:val="0"/>
              </w:rPr>
              <w:t>评估项目</w:t>
            </w:r>
          </w:p>
        </w:tc>
        <w:tc>
          <w:tcPr>
            <w:tcW w:w="109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0"/>
              <w:rPr>
                <w:kern w:val="0"/>
              </w:rPr>
            </w:pPr>
            <w:r>
              <w:rPr>
                <w:kern w:val="0"/>
              </w:rPr>
              <w:t>标准值</w:t>
            </w:r>
          </w:p>
        </w:tc>
        <w:tc>
          <w:tcPr>
            <w:tcW w:w="1599" w:type="dxa"/>
            <w:tcBorders>
              <w:top w:val="single" w:color="auto" w:sz="4" w:space="0"/>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水土流失程度</w:t>
            </w:r>
          </w:p>
        </w:tc>
        <w:tc>
          <w:tcPr>
            <w:tcW w:w="201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sz w:val="20"/>
                <w:szCs w:val="20"/>
              </w:rPr>
            </w:pPr>
            <w:r>
              <w:rPr>
                <w:kern w:val="0"/>
                <w:sz w:val="20"/>
                <w:szCs w:val="20"/>
              </w:rPr>
              <w:t>行业规定及现场实际</w:t>
            </w:r>
          </w:p>
        </w:tc>
        <w:tc>
          <w:tcPr>
            <w:tcW w:w="109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rPr>
            </w:pPr>
            <w:r>
              <w:rPr>
                <w:kern w:val="0"/>
              </w:rPr>
              <w:t>目标值</w:t>
            </w:r>
          </w:p>
        </w:tc>
      </w:tr>
      <w:tr>
        <w:tblPrEx>
          <w:tblCellMar>
            <w:top w:w="0" w:type="dxa"/>
            <w:left w:w="108" w:type="dxa"/>
            <w:bottom w:w="0" w:type="dxa"/>
            <w:right w:w="108" w:type="dxa"/>
          </w:tblCellMar>
        </w:tblPrEx>
        <w:trPr>
          <w:trHeight w:val="402" w:hRule="atLeast"/>
        </w:trPr>
        <w:tc>
          <w:tcPr>
            <w:tcW w:w="699"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2613"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1094"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轻度</w:t>
            </w:r>
          </w:p>
        </w:tc>
        <w:tc>
          <w:tcPr>
            <w:tcW w:w="2016"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sz w:val="20"/>
                <w:szCs w:val="20"/>
              </w:rPr>
            </w:pPr>
          </w:p>
        </w:tc>
        <w:tc>
          <w:tcPr>
            <w:tcW w:w="1095"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1</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水土流失治理度（％）</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93</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93</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2</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土壤流失控制比</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0.8</w:t>
            </w:r>
          </w:p>
        </w:tc>
        <w:tc>
          <w:tcPr>
            <w:tcW w:w="1599" w:type="dxa"/>
            <w:tcBorders>
              <w:top w:val="nil"/>
              <w:left w:val="nil"/>
              <w:bottom w:val="single" w:color="auto" w:sz="4" w:space="0"/>
              <w:right w:val="single" w:color="auto" w:sz="4" w:space="0"/>
            </w:tcBorders>
            <w:shd w:val="clear" w:color="auto" w:fill="auto"/>
            <w:noWrap/>
            <w:vAlign w:val="center"/>
          </w:tcPr>
          <w:p>
            <w:pPr>
              <w:pStyle w:val="50"/>
              <w:rPr>
                <w:rFonts w:hint="eastAsia" w:eastAsia="宋体"/>
                <w:kern w:val="0"/>
                <w:sz w:val="20"/>
                <w:szCs w:val="20"/>
                <w:lang w:eastAsia="zh-CN"/>
              </w:rPr>
            </w:pPr>
            <w:r>
              <w:rPr>
                <w:kern w:val="0"/>
                <w:sz w:val="20"/>
                <w:szCs w:val="20"/>
              </w:rPr>
              <w:t>+0.</w:t>
            </w:r>
            <w:r>
              <w:rPr>
                <w:rFonts w:hint="eastAsia"/>
                <w:kern w:val="0"/>
                <w:sz w:val="20"/>
                <w:szCs w:val="20"/>
                <w:lang w:val="en-US" w:eastAsia="zh-CN"/>
              </w:rPr>
              <w:t>2</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default" w:eastAsia="宋体"/>
                <w:kern w:val="0"/>
                <w:lang w:val="en-US" w:eastAsia="zh-CN"/>
              </w:rPr>
            </w:pPr>
            <w:r>
              <w:rPr>
                <w:rFonts w:hint="eastAsia"/>
                <w:kern w:val="0"/>
                <w:lang w:val="en-US" w:eastAsia="zh-CN"/>
              </w:rPr>
              <w:t>1</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3</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渣土防护率（％）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92</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92</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4</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表土保护率（％）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90</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eastAsia" w:eastAsia="宋体"/>
                <w:kern w:val="0"/>
                <w:lang w:eastAsia="zh-CN"/>
              </w:rPr>
            </w:pPr>
            <w:r>
              <w:rPr>
                <w:rFonts w:hint="eastAsia"/>
                <w:kern w:val="0"/>
                <w:lang w:val="en-US" w:eastAsia="zh-CN"/>
              </w:rPr>
              <w:t>-</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5</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林草植被恢复率（％）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95</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95</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6</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林草覆盖率（%）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22</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rFonts w:hint="default" w:eastAsia="宋体"/>
                <w:kern w:val="0"/>
                <w:sz w:val="20"/>
                <w:szCs w:val="20"/>
                <w:lang w:val="en-US" w:eastAsia="zh-CN"/>
              </w:rPr>
            </w:pPr>
            <w:r>
              <w:rPr>
                <w:rFonts w:hint="eastAsia"/>
                <w:kern w:val="0"/>
                <w:sz w:val="20"/>
                <w:szCs w:val="20"/>
                <w:lang w:val="en-US" w:eastAsia="zh-CN"/>
              </w:rPr>
              <w:t>-14</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default" w:eastAsia="宋体"/>
                <w:kern w:val="0"/>
                <w:lang w:val="en-US" w:eastAsia="zh-CN"/>
              </w:rPr>
            </w:pPr>
            <w:r>
              <w:rPr>
                <w:rFonts w:hint="eastAsia"/>
                <w:kern w:val="0"/>
                <w:lang w:val="en-US" w:eastAsia="zh-CN"/>
              </w:rPr>
              <w:t>8</w:t>
            </w:r>
          </w:p>
        </w:tc>
      </w:tr>
    </w:tbl>
    <w:p>
      <w:pPr>
        <w:pStyle w:val="50"/>
        <w:jc w:val="left"/>
      </w:pPr>
      <w:r>
        <w:t>说明：根据水土流失程度，对水土流失控制比调整，增加0.2；</w:t>
      </w:r>
      <w:r>
        <w:rPr>
          <w:rFonts w:hint="eastAsia"/>
          <w:bCs/>
        </w:rPr>
        <w:t>因场地功能限制无法提高林草覆盖率</w:t>
      </w:r>
      <w:r>
        <w:rPr>
          <w:rFonts w:hint="eastAsia"/>
          <w:bCs/>
          <w:lang w:eastAsia="zh-CN"/>
        </w:rPr>
        <w:t>，</w:t>
      </w:r>
      <w:r>
        <w:rPr>
          <w:rFonts w:hint="eastAsia"/>
          <w:lang w:eastAsia="zh-CN"/>
        </w:rPr>
        <w:t>绿化措施</w:t>
      </w:r>
      <w:r>
        <w:rPr>
          <w:rFonts w:hint="eastAsia"/>
        </w:rPr>
        <w:t>林草覆盖率</w:t>
      </w:r>
      <w:r>
        <w:rPr>
          <w:rFonts w:hint="eastAsia"/>
          <w:lang w:eastAsia="zh-CN"/>
        </w:rPr>
        <w:t>减少</w:t>
      </w:r>
      <w:r>
        <w:rPr>
          <w:rFonts w:hint="eastAsia"/>
          <w:lang w:val="en-US" w:eastAsia="zh-CN"/>
        </w:rPr>
        <w:t>14</w:t>
      </w:r>
      <w:r>
        <w:rPr>
          <w:rFonts w:hint="eastAsia"/>
        </w:rPr>
        <w:t>%</w:t>
      </w:r>
      <w:r>
        <w:rPr>
          <w:rFonts w:hint="eastAsia"/>
          <w:lang w:eastAsia="zh-CN"/>
        </w:rPr>
        <w:t>；</w:t>
      </w:r>
      <w:r>
        <w:rPr>
          <w:rFonts w:hint="eastAsia"/>
          <w:bCs/>
          <w:lang w:val="en-US" w:eastAsia="zh-CN"/>
        </w:rPr>
        <w:t>本项目主体已建设完毕为</w:t>
      </w:r>
      <w:r>
        <w:rPr>
          <w:rFonts w:hint="default"/>
          <w:bCs/>
          <w:lang w:val="en-US" w:eastAsia="zh-CN"/>
        </w:rPr>
        <w:t>补报项目</w:t>
      </w:r>
      <w:r>
        <w:rPr>
          <w:rFonts w:hint="eastAsia"/>
          <w:bCs/>
          <w:lang w:val="en-US" w:eastAsia="zh-CN"/>
        </w:rPr>
        <w:t>，</w:t>
      </w:r>
      <w:r>
        <w:rPr>
          <w:rFonts w:hint="default"/>
          <w:bCs/>
          <w:lang w:val="en-US" w:eastAsia="zh-CN"/>
        </w:rPr>
        <w:t>表土防护率指标</w:t>
      </w:r>
      <w:r>
        <w:rPr>
          <w:rFonts w:hint="eastAsia"/>
          <w:bCs/>
          <w:lang w:val="en-US" w:eastAsia="zh-CN"/>
        </w:rPr>
        <w:t>本方案不进行</w:t>
      </w:r>
      <w:r>
        <w:rPr>
          <w:rFonts w:hint="default"/>
          <w:bCs/>
          <w:lang w:val="en-US" w:eastAsia="zh-CN"/>
        </w:rPr>
        <w:t>评价</w:t>
      </w:r>
      <w:r>
        <w:rPr>
          <w:rFonts w:hint="eastAsia"/>
        </w:rPr>
        <w:t>。</w:t>
      </w:r>
    </w:p>
    <w:p>
      <w:pPr>
        <w:pStyle w:val="37"/>
      </w:pPr>
      <w:bookmarkStart w:id="30" w:name="_Toc510511018"/>
      <w:bookmarkStart w:id="31" w:name="_Toc1117825"/>
      <w:bookmarkStart w:id="32" w:name="_Toc501443573"/>
      <w:r>
        <w:rPr>
          <w:rFonts w:hint="eastAsia"/>
        </w:rPr>
        <w:t>7</w:t>
      </w:r>
      <w:r>
        <w:t xml:space="preserve"> 水土</w:t>
      </w:r>
      <w:bookmarkEnd w:id="30"/>
      <w:bookmarkEnd w:id="31"/>
      <w:bookmarkEnd w:id="32"/>
      <w:r>
        <w:rPr>
          <w:rFonts w:hint="eastAsia"/>
        </w:rPr>
        <w:t>保持</w:t>
      </w:r>
      <w:r>
        <w:t>措施</w:t>
      </w:r>
    </w:p>
    <w:p>
      <w:pPr>
        <w:pStyle w:val="43"/>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snapToGrid w:val="0"/>
          <w:kern w:val="0"/>
          <w:lang w:val="en-US" w:eastAsia="zh-CN"/>
        </w:rPr>
      </w:pPr>
      <w:r>
        <w:rPr>
          <w:rFonts w:hint="eastAsia"/>
          <w:snapToGrid w:val="0"/>
          <w:kern w:val="0"/>
          <w:lang w:val="en-US" w:eastAsia="zh-CN"/>
        </w:rPr>
        <w:drawing>
          <wp:inline distT="0" distB="0" distL="114300" distR="114300">
            <wp:extent cx="5647055" cy="4591685"/>
            <wp:effectExtent l="0" t="0" r="0" b="0"/>
            <wp:docPr id="3" name="图片 3" descr="水土保持防治措施体系图(福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水土保持防治措施体系图(福峰)(1)"/>
                    <pic:cNvPicPr>
                      <a:picLocks noChangeAspect="1"/>
                    </pic:cNvPicPr>
                  </pic:nvPicPr>
                  <pic:blipFill>
                    <a:blip r:embed="rId11"/>
                    <a:stretch>
                      <a:fillRect/>
                    </a:stretch>
                  </pic:blipFill>
                  <pic:spPr>
                    <a:xfrm>
                      <a:off x="0" y="0"/>
                      <a:ext cx="5647055" cy="4591685"/>
                    </a:xfrm>
                    <a:prstGeom prst="rect">
                      <a:avLst/>
                    </a:prstGeom>
                  </pic:spPr>
                </pic:pic>
              </a:graphicData>
            </a:graphic>
          </wp:inline>
        </w:drawing>
      </w:r>
    </w:p>
    <w:p>
      <w:pPr>
        <w:pStyle w:val="43"/>
        <w:keepNext w:val="0"/>
        <w:keepLines w:val="0"/>
        <w:pageBreakBefore w:val="0"/>
        <w:widowControl w:val="0"/>
        <w:kinsoku/>
        <w:wordWrap/>
        <w:overflowPunct/>
        <w:topLinePunct w:val="0"/>
        <w:autoSpaceDE/>
        <w:autoSpaceDN/>
        <w:bidi w:val="0"/>
        <w:adjustRightInd w:val="0"/>
        <w:snapToGrid w:val="0"/>
        <w:spacing w:line="240" w:lineRule="auto"/>
        <w:ind w:firstLine="480"/>
        <w:jc w:val="center"/>
        <w:textAlignment w:val="auto"/>
        <w:rPr>
          <w:rFonts w:hint="eastAsia"/>
          <w:b/>
          <w:bCs/>
          <w:snapToGrid w:val="0"/>
          <w:kern w:val="0"/>
          <w:lang w:val="en-US" w:eastAsia="zh-CN"/>
        </w:rPr>
      </w:pPr>
      <w:r>
        <w:rPr>
          <w:rFonts w:hint="eastAsia"/>
          <w:b/>
          <w:bCs/>
          <w:snapToGrid w:val="0"/>
          <w:kern w:val="0"/>
          <w:lang w:val="en-US" w:eastAsia="zh-CN"/>
        </w:rPr>
        <w:t>图7-1措施总体布局</w:t>
      </w:r>
    </w:p>
    <w:p>
      <w:pPr>
        <w:pStyle w:val="43"/>
        <w:ind w:firstLine="480"/>
        <w:rPr>
          <w:rFonts w:hint="eastAsia"/>
          <w:snapToGrid w:val="0"/>
          <w:kern w:val="0"/>
          <w:lang w:val="en-US" w:eastAsia="zh-CN"/>
        </w:rPr>
      </w:pPr>
    </w:p>
    <w:p>
      <w:pPr>
        <w:pStyle w:val="43"/>
        <w:ind w:firstLine="480"/>
        <w:rPr>
          <w:rFonts w:hint="eastAsia" w:eastAsia="宋体"/>
          <w:snapToGrid w:val="0"/>
          <w:kern w:val="0"/>
          <w:lang w:eastAsia="zh-CN"/>
        </w:rPr>
      </w:pPr>
      <w:r>
        <w:rPr>
          <w:rFonts w:hint="eastAsia"/>
          <w:snapToGrid w:val="0"/>
          <w:kern w:val="0"/>
          <w:lang w:val="en-US" w:eastAsia="zh-CN"/>
        </w:rPr>
        <w:t>1、</w:t>
      </w:r>
      <w:r>
        <w:rPr>
          <w:rFonts w:hint="eastAsia"/>
          <w:snapToGrid w:val="0"/>
          <w:kern w:val="0"/>
          <w:lang w:eastAsia="zh-CN"/>
        </w:rPr>
        <w:t>工业场地防治区</w:t>
      </w:r>
    </w:p>
    <w:p>
      <w:pPr>
        <w:pStyle w:val="43"/>
        <w:ind w:firstLine="480"/>
        <w:rPr>
          <w:rFonts w:hint="eastAsia"/>
          <w:snapToGrid w:val="0"/>
          <w:kern w:val="0"/>
        </w:rPr>
      </w:pPr>
      <w:r>
        <w:rPr>
          <w:rFonts w:hint="eastAsia"/>
          <w:snapToGrid w:val="0"/>
          <w:kern w:val="0"/>
        </w:rPr>
        <w:t>（一）工程措施</w:t>
      </w:r>
    </w:p>
    <w:p>
      <w:pPr>
        <w:pStyle w:val="43"/>
        <w:ind w:firstLine="480"/>
        <w:rPr>
          <w:rFonts w:hint="eastAsia"/>
          <w:snapToGrid w:val="0"/>
          <w:kern w:val="0"/>
          <w:lang w:eastAsia="zh-CN"/>
        </w:rPr>
      </w:pPr>
      <w:r>
        <w:rPr>
          <w:rFonts w:hint="eastAsia"/>
          <w:snapToGrid w:val="0"/>
          <w:kern w:val="0"/>
          <w:lang w:eastAsia="zh-CN"/>
        </w:rPr>
        <w:t>主体已有</w:t>
      </w:r>
    </w:p>
    <w:p>
      <w:pPr>
        <w:pStyle w:val="43"/>
        <w:ind w:firstLine="480"/>
        <w:rPr>
          <w:rFonts w:hint="eastAsia"/>
          <w:snapToGrid w:val="0"/>
          <w:kern w:val="0"/>
          <w:lang w:val="en-US" w:eastAsia="zh-CN"/>
        </w:rPr>
      </w:pPr>
      <w:r>
        <w:rPr>
          <w:rFonts w:hint="eastAsia" w:eastAsia="宋体"/>
          <w:snapToGrid w:val="0"/>
          <w:kern w:val="0"/>
          <w:lang w:eastAsia="zh-CN"/>
        </w:rPr>
        <w:t>工程措施——</w:t>
      </w:r>
      <w:r>
        <w:rPr>
          <w:rFonts w:hint="eastAsia"/>
          <w:snapToGrid w:val="0"/>
          <w:kern w:val="0"/>
          <w:lang w:eastAsia="zh-CN"/>
        </w:rPr>
        <w:t>在</w:t>
      </w:r>
      <w:r>
        <w:rPr>
          <w:rFonts w:hint="eastAsia"/>
          <w:snapToGrid w:val="0"/>
          <w:kern w:val="0"/>
          <w:lang w:val="en-US" w:eastAsia="zh-CN"/>
        </w:rPr>
        <w:t>场内布设雨水收集池1座，尺寸长15米，宽4米，深3米，</w:t>
      </w:r>
    </w:p>
    <w:p>
      <w:pPr>
        <w:pStyle w:val="43"/>
        <w:ind w:firstLine="480"/>
        <w:rPr>
          <w:rFonts w:hint="eastAsia"/>
          <w:snapToGrid w:val="0"/>
          <w:kern w:val="0"/>
        </w:rPr>
      </w:pPr>
      <w:r>
        <w:rPr>
          <w:rFonts w:hint="eastAsia"/>
          <w:snapToGrid w:val="0"/>
          <w:kern w:val="0"/>
        </w:rPr>
        <w:t>（二）植物措施</w:t>
      </w:r>
    </w:p>
    <w:p>
      <w:pPr>
        <w:pStyle w:val="43"/>
        <w:ind w:firstLine="480"/>
        <w:rPr>
          <w:rFonts w:hint="eastAsia"/>
          <w:snapToGrid w:val="0"/>
          <w:kern w:val="0"/>
          <w:lang w:eastAsia="zh-CN"/>
        </w:rPr>
      </w:pPr>
      <w:r>
        <w:rPr>
          <w:rFonts w:hint="eastAsia"/>
          <w:snapToGrid w:val="0"/>
          <w:kern w:val="0"/>
          <w:lang w:eastAsia="zh-CN"/>
        </w:rPr>
        <w:t>主体已有</w:t>
      </w:r>
    </w:p>
    <w:p>
      <w:pPr>
        <w:pStyle w:val="43"/>
        <w:ind w:firstLine="480"/>
        <w:rPr>
          <w:rFonts w:hint="default"/>
          <w:snapToGrid w:val="0"/>
          <w:kern w:val="0"/>
          <w:lang w:val="en-US" w:eastAsia="zh-CN"/>
        </w:rPr>
      </w:pPr>
      <w:r>
        <w:rPr>
          <w:rFonts w:hint="eastAsia"/>
          <w:snapToGrid w:val="0"/>
          <w:kern w:val="0"/>
          <w:lang w:eastAsia="zh-CN"/>
        </w:rPr>
        <w:t>植物措施——</w:t>
      </w:r>
      <w:r>
        <w:rPr>
          <w:rFonts w:hint="eastAsia"/>
          <w:snapToGrid w:val="0"/>
          <w:kern w:val="0"/>
          <w:lang w:val="en-US" w:eastAsia="zh-CN"/>
        </w:rPr>
        <w:t>场地内布置绿化面积0.01hm</w:t>
      </w:r>
      <w:r>
        <w:rPr>
          <w:rFonts w:hint="eastAsia"/>
          <w:snapToGrid w:val="0"/>
          <w:kern w:val="0"/>
          <w:vertAlign w:val="superscript"/>
          <w:lang w:val="en-US" w:eastAsia="zh-CN"/>
        </w:rPr>
        <w:t>2</w:t>
      </w:r>
      <w:r>
        <w:rPr>
          <w:rFonts w:hint="eastAsia"/>
          <w:snapToGrid w:val="0"/>
          <w:kern w:val="0"/>
          <w:lang w:val="en-US" w:eastAsia="zh-CN"/>
        </w:rPr>
        <w:t>。</w:t>
      </w:r>
    </w:p>
    <w:p>
      <w:pPr>
        <w:pStyle w:val="43"/>
        <w:ind w:firstLine="480"/>
        <w:rPr>
          <w:rFonts w:hint="eastAsia" w:eastAsia="宋体"/>
          <w:snapToGrid w:val="0"/>
          <w:kern w:val="0"/>
          <w:lang w:eastAsia="zh-CN"/>
        </w:rPr>
      </w:pPr>
      <w:r>
        <w:rPr>
          <w:rFonts w:hint="eastAsia"/>
          <w:snapToGrid w:val="0"/>
          <w:kern w:val="0"/>
          <w:lang w:eastAsia="zh-CN"/>
        </w:rPr>
        <w:t>方案新增</w:t>
      </w:r>
    </w:p>
    <w:p>
      <w:pPr>
        <w:pStyle w:val="43"/>
        <w:ind w:firstLine="480"/>
        <w:rPr>
          <w:rFonts w:hint="eastAsia" w:eastAsia="宋体"/>
          <w:snapToGrid w:val="0"/>
          <w:kern w:val="0"/>
          <w:lang w:eastAsia="zh-CN"/>
        </w:rPr>
      </w:pPr>
      <w:r>
        <w:rPr>
          <w:rFonts w:hint="eastAsia" w:eastAsia="宋体"/>
          <w:snapToGrid w:val="0"/>
          <w:kern w:val="0"/>
          <w:lang w:eastAsia="zh-CN"/>
        </w:rPr>
        <w:t>植物措施——</w:t>
      </w:r>
      <w:r>
        <w:rPr>
          <w:rFonts w:hint="eastAsia"/>
          <w:snapToGrid w:val="0"/>
          <w:kern w:val="0"/>
          <w:lang w:eastAsia="zh-CN"/>
        </w:rPr>
        <w:t>在场内西侧裸露空地</w:t>
      </w:r>
      <w:r>
        <w:rPr>
          <w:rFonts w:hint="eastAsia" w:eastAsia="宋体"/>
          <w:snapToGrid w:val="0"/>
          <w:kern w:val="0"/>
          <w:lang w:eastAsia="zh-CN"/>
        </w:rPr>
        <w:t>布设绿化措施，</w:t>
      </w:r>
      <w:r>
        <w:rPr>
          <w:rFonts w:hint="eastAsia" w:eastAsia="宋体" w:cs="Times New Roman"/>
          <w:snapToGrid w:val="0"/>
          <w:kern w:val="0"/>
          <w:szCs w:val="24"/>
          <w:lang w:val="en-US" w:eastAsia="zh-CN"/>
        </w:rPr>
        <w:t>绿化面积</w:t>
      </w:r>
      <w:r>
        <w:rPr>
          <w:rFonts w:hint="eastAsia" w:cs="Times New Roman"/>
          <w:snapToGrid w:val="0"/>
          <w:kern w:val="0"/>
          <w:szCs w:val="24"/>
          <w:lang w:val="en-US" w:eastAsia="zh-CN"/>
        </w:rPr>
        <w:t>0.12</w:t>
      </w:r>
      <w:r>
        <w:rPr>
          <w:rFonts w:hint="eastAsia" w:eastAsia="宋体" w:cs="Times New Roman"/>
          <w:snapToGrid w:val="0"/>
          <w:kern w:val="0"/>
          <w:szCs w:val="24"/>
          <w:lang w:val="en-US" w:eastAsia="zh-CN"/>
        </w:rPr>
        <w:t>hm</w:t>
      </w:r>
      <w:r>
        <w:rPr>
          <w:rFonts w:hint="eastAsia" w:eastAsia="宋体" w:cs="Times New Roman"/>
          <w:snapToGrid w:val="0"/>
          <w:kern w:val="0"/>
          <w:szCs w:val="24"/>
          <w:vertAlign w:val="superscript"/>
          <w:lang w:val="en-US" w:eastAsia="zh-CN"/>
        </w:rPr>
        <w:t>2</w:t>
      </w:r>
      <w:r>
        <w:rPr>
          <w:rFonts w:hint="eastAsia" w:eastAsia="宋体"/>
          <w:snapToGrid w:val="0"/>
          <w:kern w:val="0"/>
          <w:lang w:eastAsia="zh-CN"/>
        </w:rPr>
        <w:t>。</w:t>
      </w:r>
    </w:p>
    <w:p>
      <w:pPr>
        <w:pStyle w:val="43"/>
        <w:ind w:firstLine="480"/>
        <w:rPr>
          <w:rFonts w:hint="eastAsia" w:eastAsia="宋体"/>
          <w:snapToGrid w:val="0"/>
          <w:kern w:val="0"/>
          <w:lang w:eastAsia="zh-CN"/>
        </w:rPr>
      </w:pPr>
      <w:r>
        <w:rPr>
          <w:rFonts w:hint="eastAsia" w:eastAsia="宋体"/>
          <w:snapToGrid w:val="0"/>
          <w:kern w:val="0"/>
          <w:lang w:eastAsia="zh-CN"/>
        </w:rPr>
        <w:t>（</w:t>
      </w:r>
      <w:r>
        <w:rPr>
          <w:rFonts w:hint="eastAsia"/>
          <w:snapToGrid w:val="0"/>
          <w:kern w:val="0"/>
          <w:lang w:val="en-US" w:eastAsia="zh-CN"/>
        </w:rPr>
        <w:t>1</w:t>
      </w:r>
      <w:r>
        <w:rPr>
          <w:rFonts w:hint="eastAsia" w:eastAsia="宋体"/>
          <w:snapToGrid w:val="0"/>
          <w:kern w:val="0"/>
          <w:lang w:eastAsia="zh-CN"/>
        </w:rPr>
        <w:t>）树、草种选择</w:t>
      </w:r>
    </w:p>
    <w:p>
      <w:pPr>
        <w:pStyle w:val="43"/>
        <w:ind w:firstLine="480"/>
        <w:rPr>
          <w:rFonts w:hint="eastAsia" w:eastAsia="宋体"/>
          <w:snapToGrid w:val="0"/>
          <w:kern w:val="0"/>
          <w:lang w:eastAsia="zh-CN"/>
        </w:rPr>
      </w:pPr>
      <w:r>
        <w:rPr>
          <w:rFonts w:hint="eastAsia" w:eastAsia="宋体"/>
          <w:snapToGrid w:val="0"/>
          <w:kern w:val="0"/>
          <w:lang w:eastAsia="zh-CN"/>
        </w:rPr>
        <w:t>根据项目区气候条件及立地条件，选择栽植</w:t>
      </w:r>
      <w:r>
        <w:rPr>
          <w:rFonts w:hint="eastAsia"/>
          <w:snapToGrid w:val="0"/>
          <w:kern w:val="0"/>
          <w:lang w:eastAsia="zh-CN"/>
        </w:rPr>
        <w:t>油松</w:t>
      </w:r>
      <w:r>
        <w:rPr>
          <w:rFonts w:hint="eastAsia" w:eastAsia="宋体"/>
          <w:snapToGrid w:val="0"/>
          <w:kern w:val="0"/>
          <w:lang w:eastAsia="zh-CN"/>
        </w:rPr>
        <w:t>。</w:t>
      </w:r>
    </w:p>
    <w:p>
      <w:pPr>
        <w:pStyle w:val="43"/>
        <w:ind w:firstLine="480"/>
        <w:rPr>
          <w:rFonts w:hint="eastAsia" w:eastAsia="宋体"/>
          <w:snapToGrid w:val="0"/>
          <w:kern w:val="0"/>
          <w:lang w:eastAsia="zh-CN"/>
        </w:rPr>
      </w:pPr>
      <w:r>
        <w:rPr>
          <w:rFonts w:hint="eastAsia" w:eastAsia="宋体"/>
          <w:snapToGrid w:val="0"/>
          <w:kern w:val="0"/>
          <w:lang w:eastAsia="zh-CN"/>
        </w:rPr>
        <w:t>（4）整地和密度</w:t>
      </w:r>
    </w:p>
    <w:p>
      <w:pPr>
        <w:pStyle w:val="43"/>
        <w:ind w:firstLine="480"/>
        <w:rPr>
          <w:rFonts w:hint="eastAsia" w:eastAsia="宋体"/>
          <w:snapToGrid w:val="0"/>
          <w:kern w:val="0"/>
          <w:lang w:eastAsia="zh-CN"/>
        </w:rPr>
      </w:pPr>
      <w:r>
        <w:rPr>
          <w:rFonts w:hint="eastAsia" w:eastAsia="宋体"/>
          <w:snapToGrid w:val="0"/>
          <w:kern w:val="0"/>
          <w:lang w:eastAsia="zh-CN"/>
        </w:rPr>
        <w:t>栽植</w:t>
      </w:r>
      <w:r>
        <w:rPr>
          <w:rFonts w:hint="eastAsia"/>
          <w:snapToGrid w:val="0"/>
          <w:kern w:val="0"/>
          <w:lang w:eastAsia="zh-CN"/>
        </w:rPr>
        <w:t>油松</w:t>
      </w:r>
      <w:r>
        <w:rPr>
          <w:rFonts w:hint="eastAsia" w:eastAsia="宋体"/>
          <w:snapToGrid w:val="0"/>
          <w:kern w:val="0"/>
          <w:lang w:eastAsia="zh-CN"/>
        </w:rPr>
        <w:t>，采用穴状整地的方法，整为圆形坑穴，规格为直径</w:t>
      </w:r>
      <w:r>
        <w:rPr>
          <w:rFonts w:hint="eastAsia"/>
          <w:snapToGrid w:val="0"/>
          <w:kern w:val="0"/>
          <w:lang w:val="en-US" w:eastAsia="zh-CN"/>
        </w:rPr>
        <w:t>6</w:t>
      </w:r>
      <w:r>
        <w:rPr>
          <w:rFonts w:hint="eastAsia" w:eastAsia="宋体"/>
          <w:snapToGrid w:val="0"/>
          <w:kern w:val="0"/>
          <w:lang w:eastAsia="zh-CN"/>
        </w:rPr>
        <w:t>0cm，深</w:t>
      </w:r>
      <w:r>
        <w:rPr>
          <w:rFonts w:hint="eastAsia"/>
          <w:snapToGrid w:val="0"/>
          <w:kern w:val="0"/>
          <w:lang w:val="en-US" w:eastAsia="zh-CN"/>
        </w:rPr>
        <w:t>6</w:t>
      </w:r>
      <w:r>
        <w:rPr>
          <w:rFonts w:hint="eastAsia" w:eastAsia="宋体"/>
          <w:snapToGrid w:val="0"/>
          <w:kern w:val="0"/>
          <w:lang w:eastAsia="zh-CN"/>
        </w:rPr>
        <w:t>0cm，植株高度150cm，株行距2m×3m。</w:t>
      </w:r>
    </w:p>
    <w:p>
      <w:pPr>
        <w:pStyle w:val="43"/>
        <w:ind w:firstLine="480"/>
        <w:rPr>
          <w:rFonts w:hint="eastAsia" w:eastAsia="宋体"/>
          <w:snapToGrid w:val="0"/>
          <w:kern w:val="0"/>
          <w:lang w:eastAsia="zh-CN"/>
        </w:rPr>
      </w:pPr>
      <w:r>
        <w:rPr>
          <w:rFonts w:hint="eastAsia" w:eastAsia="宋体"/>
          <w:snapToGrid w:val="0"/>
          <w:kern w:val="0"/>
          <w:lang w:eastAsia="zh-CN"/>
        </w:rPr>
        <w:t>（5）苗木规格</w:t>
      </w:r>
    </w:p>
    <w:p>
      <w:pPr>
        <w:pStyle w:val="43"/>
        <w:ind w:firstLine="480"/>
        <w:rPr>
          <w:rFonts w:hint="eastAsia" w:eastAsia="宋体"/>
          <w:snapToGrid w:val="0"/>
          <w:kern w:val="0"/>
          <w:lang w:eastAsia="zh-CN"/>
        </w:rPr>
      </w:pPr>
      <w:r>
        <w:rPr>
          <w:rFonts w:hint="eastAsia"/>
          <w:snapToGrid w:val="0"/>
          <w:kern w:val="0"/>
          <w:lang w:eastAsia="zh-CN"/>
        </w:rPr>
        <w:t>油松</w:t>
      </w:r>
      <w:r>
        <w:rPr>
          <w:rFonts w:hint="eastAsia" w:eastAsia="宋体"/>
          <w:snapToGrid w:val="0"/>
          <w:kern w:val="0"/>
          <w:lang w:eastAsia="zh-CN"/>
        </w:rPr>
        <w:t>树苗要求发育良好，根系完整，苗高150cm，无病虫和机械损伤。</w:t>
      </w:r>
    </w:p>
    <w:p>
      <w:pPr>
        <w:pStyle w:val="43"/>
        <w:ind w:firstLine="480"/>
        <w:rPr>
          <w:rFonts w:hint="eastAsia" w:eastAsia="宋体"/>
          <w:snapToGrid w:val="0"/>
          <w:kern w:val="0"/>
          <w:lang w:eastAsia="zh-CN"/>
        </w:rPr>
      </w:pPr>
      <w:r>
        <w:rPr>
          <w:rFonts w:hint="eastAsia" w:eastAsia="宋体"/>
          <w:snapToGrid w:val="0"/>
          <w:kern w:val="0"/>
          <w:lang w:eastAsia="zh-CN"/>
        </w:rPr>
        <w:t>（6）造林技术要求</w:t>
      </w:r>
    </w:p>
    <w:p>
      <w:pPr>
        <w:pStyle w:val="43"/>
        <w:ind w:firstLine="480"/>
        <w:rPr>
          <w:rFonts w:hint="eastAsia" w:eastAsia="宋体"/>
          <w:snapToGrid w:val="0"/>
          <w:kern w:val="0"/>
          <w:lang w:eastAsia="zh-CN"/>
        </w:rPr>
      </w:pPr>
      <w:r>
        <w:rPr>
          <w:rFonts w:hint="eastAsia"/>
          <w:snapToGrid w:val="0"/>
          <w:kern w:val="0"/>
          <w:lang w:eastAsia="zh-CN"/>
        </w:rPr>
        <w:t>油松</w:t>
      </w:r>
      <w:r>
        <w:rPr>
          <w:rFonts w:hint="eastAsia" w:eastAsia="宋体"/>
          <w:snapToGrid w:val="0"/>
          <w:kern w:val="0"/>
          <w:lang w:eastAsia="zh-CN"/>
        </w:rPr>
        <w:t xml:space="preserve">采用边整地边栽种的施工方法，栽植时苗木放正，从四周填土至坑深1/3时将苗向上轻提，使根舒展，然后继续填土并踩实，栽植后每穴浇水5kg，三年内加强抚育管护。 </w:t>
      </w:r>
    </w:p>
    <w:p>
      <w:pPr>
        <w:pStyle w:val="43"/>
        <w:ind w:firstLine="480"/>
        <w:rPr>
          <w:rFonts w:hint="eastAsia" w:eastAsia="宋体"/>
          <w:snapToGrid w:val="0"/>
          <w:kern w:val="0"/>
          <w:lang w:eastAsia="zh-CN"/>
        </w:rPr>
      </w:pPr>
      <w:r>
        <w:rPr>
          <w:rFonts w:hint="eastAsia" w:eastAsia="宋体"/>
          <w:snapToGrid w:val="0"/>
          <w:kern w:val="0"/>
          <w:lang w:eastAsia="zh-CN"/>
        </w:rPr>
        <w:t>（7）工程量</w:t>
      </w:r>
    </w:p>
    <w:p>
      <w:pPr>
        <w:pStyle w:val="43"/>
        <w:ind w:firstLine="480"/>
        <w:rPr>
          <w:rFonts w:hint="eastAsia" w:eastAsia="宋体"/>
          <w:snapToGrid w:val="0"/>
          <w:kern w:val="0"/>
          <w:lang w:eastAsia="zh-CN"/>
        </w:rPr>
      </w:pPr>
      <w:r>
        <w:rPr>
          <w:rFonts w:hint="eastAsia" w:eastAsia="宋体"/>
          <w:snapToGrid w:val="0"/>
          <w:kern w:val="0"/>
          <w:lang w:eastAsia="zh-CN"/>
        </w:rPr>
        <w:t>经计算栽植</w:t>
      </w:r>
      <w:r>
        <w:rPr>
          <w:rFonts w:hint="eastAsia"/>
          <w:snapToGrid w:val="0"/>
          <w:kern w:val="0"/>
          <w:lang w:eastAsia="zh-CN"/>
        </w:rPr>
        <w:t>油松</w:t>
      </w:r>
      <w:r>
        <w:rPr>
          <w:rFonts w:hint="eastAsia"/>
          <w:snapToGrid w:val="0"/>
          <w:kern w:val="0"/>
          <w:lang w:val="en-US" w:eastAsia="zh-CN"/>
        </w:rPr>
        <w:t>200</w:t>
      </w:r>
      <w:r>
        <w:rPr>
          <w:rFonts w:hint="eastAsia" w:eastAsia="宋体"/>
          <w:snapToGrid w:val="0"/>
          <w:kern w:val="0"/>
          <w:lang w:eastAsia="zh-CN"/>
        </w:rPr>
        <w:t>株，需苗量</w:t>
      </w:r>
      <w:r>
        <w:rPr>
          <w:rFonts w:hint="eastAsia"/>
          <w:snapToGrid w:val="0"/>
          <w:kern w:val="0"/>
          <w:lang w:val="en-US" w:eastAsia="zh-CN"/>
        </w:rPr>
        <w:t>204</w:t>
      </w:r>
      <w:r>
        <w:rPr>
          <w:rFonts w:hint="eastAsia" w:eastAsia="宋体"/>
          <w:snapToGrid w:val="0"/>
          <w:kern w:val="0"/>
          <w:lang w:eastAsia="zh-CN"/>
        </w:rPr>
        <w:t>株。</w:t>
      </w:r>
    </w:p>
    <w:p>
      <w:pPr>
        <w:pStyle w:val="43"/>
        <w:ind w:firstLine="480"/>
        <w:rPr>
          <w:rFonts w:hint="eastAsia" w:eastAsia="宋体"/>
          <w:snapToGrid w:val="0"/>
          <w:kern w:val="0"/>
          <w:lang w:eastAsia="zh-CN"/>
        </w:rPr>
      </w:pPr>
      <w:r>
        <w:rPr>
          <w:rFonts w:hint="eastAsia"/>
          <w:snapToGrid w:val="0"/>
          <w:kern w:val="0"/>
          <w:lang w:val="en-US" w:eastAsia="zh-CN"/>
        </w:rPr>
        <w:t>2、</w:t>
      </w:r>
      <w:r>
        <w:rPr>
          <w:rFonts w:hint="eastAsia"/>
          <w:snapToGrid w:val="0"/>
          <w:kern w:val="0"/>
          <w:lang w:eastAsia="zh-CN"/>
        </w:rPr>
        <w:t>办公生活防治区</w:t>
      </w:r>
    </w:p>
    <w:p>
      <w:pPr>
        <w:pStyle w:val="43"/>
        <w:ind w:firstLine="480"/>
        <w:rPr>
          <w:rFonts w:hint="eastAsia"/>
          <w:snapToGrid w:val="0"/>
          <w:kern w:val="0"/>
        </w:rPr>
      </w:pPr>
      <w:r>
        <w:rPr>
          <w:rFonts w:hint="eastAsia"/>
          <w:snapToGrid w:val="0"/>
          <w:kern w:val="0"/>
        </w:rPr>
        <w:t>（一）</w:t>
      </w:r>
      <w:r>
        <w:rPr>
          <w:rFonts w:hint="eastAsia"/>
          <w:snapToGrid w:val="0"/>
          <w:kern w:val="0"/>
          <w:lang w:eastAsia="zh-CN"/>
        </w:rPr>
        <w:t>植物</w:t>
      </w:r>
      <w:r>
        <w:rPr>
          <w:rFonts w:hint="eastAsia"/>
          <w:snapToGrid w:val="0"/>
          <w:kern w:val="0"/>
        </w:rPr>
        <w:t>措施</w:t>
      </w:r>
    </w:p>
    <w:p>
      <w:pPr>
        <w:pStyle w:val="43"/>
        <w:ind w:firstLine="480"/>
        <w:rPr>
          <w:rFonts w:hint="eastAsia" w:eastAsia="宋体"/>
          <w:snapToGrid w:val="0"/>
          <w:kern w:val="0"/>
          <w:lang w:eastAsia="zh-CN"/>
        </w:rPr>
      </w:pPr>
      <w:r>
        <w:rPr>
          <w:rFonts w:hint="eastAsia"/>
          <w:snapToGrid w:val="0"/>
          <w:kern w:val="0"/>
          <w:lang w:eastAsia="zh-CN"/>
        </w:rPr>
        <w:t>主体已有</w:t>
      </w:r>
    </w:p>
    <w:p>
      <w:pPr>
        <w:pStyle w:val="43"/>
        <w:ind w:firstLine="480"/>
        <w:rPr>
          <w:rFonts w:hint="eastAsia"/>
          <w:snapToGrid w:val="0"/>
          <w:kern w:val="0"/>
          <w:lang w:val="en-US" w:eastAsia="zh-CN"/>
        </w:rPr>
      </w:pPr>
      <w:r>
        <w:rPr>
          <w:rFonts w:hint="eastAsia"/>
          <w:snapToGrid w:val="0"/>
          <w:kern w:val="0"/>
          <w:lang w:eastAsia="zh-CN"/>
        </w:rPr>
        <w:t>植物</w:t>
      </w:r>
      <w:r>
        <w:rPr>
          <w:rFonts w:hint="eastAsia" w:eastAsia="宋体"/>
          <w:snapToGrid w:val="0"/>
          <w:kern w:val="0"/>
          <w:lang w:eastAsia="zh-CN"/>
        </w:rPr>
        <w:t>措施——</w:t>
      </w:r>
      <w:r>
        <w:rPr>
          <w:rFonts w:hint="eastAsia"/>
          <w:snapToGrid w:val="0"/>
          <w:kern w:val="0"/>
          <w:lang w:val="en-US" w:eastAsia="zh-CN"/>
        </w:rPr>
        <w:t>场地内布置绿化面积0.01hm</w:t>
      </w:r>
      <w:r>
        <w:rPr>
          <w:rFonts w:hint="eastAsia"/>
          <w:snapToGrid w:val="0"/>
          <w:kern w:val="0"/>
          <w:vertAlign w:val="superscript"/>
          <w:lang w:val="en-US" w:eastAsia="zh-CN"/>
        </w:rPr>
        <w:t>2</w:t>
      </w:r>
      <w:r>
        <w:rPr>
          <w:rFonts w:hint="eastAsia"/>
          <w:snapToGrid w:val="0"/>
          <w:kern w:val="0"/>
          <w:lang w:eastAsia="zh-CN"/>
        </w:rPr>
        <w:t>。</w:t>
      </w:r>
    </w:p>
    <w:p>
      <w:pPr>
        <w:pStyle w:val="43"/>
        <w:ind w:firstLine="480"/>
        <w:rPr>
          <w:rFonts w:hint="eastAsia"/>
          <w:snapToGrid w:val="0"/>
          <w:kern w:val="0"/>
        </w:rPr>
      </w:pPr>
      <w:r>
        <w:rPr>
          <w:rFonts w:hint="eastAsia"/>
          <w:snapToGrid w:val="0"/>
          <w:kern w:val="0"/>
        </w:rPr>
        <w:t>详细工程量见表</w:t>
      </w:r>
      <w:r>
        <w:rPr>
          <w:rFonts w:hint="eastAsia"/>
          <w:snapToGrid w:val="0"/>
          <w:kern w:val="0"/>
          <w:lang w:val="en-US" w:eastAsia="zh-CN"/>
        </w:rPr>
        <w:t>7</w:t>
      </w:r>
      <w:r>
        <w:rPr>
          <w:rFonts w:hint="eastAsia"/>
          <w:snapToGrid w:val="0"/>
          <w:kern w:val="0"/>
        </w:rPr>
        <w:t>-1</w:t>
      </w:r>
      <w:r>
        <w:rPr>
          <w:rFonts w:hint="eastAsia"/>
          <w:snapToGrid w:val="0"/>
          <w:kern w:val="0"/>
          <w:lang w:eastAsia="zh-CN"/>
        </w:rPr>
        <w:t>至</w:t>
      </w:r>
      <w:r>
        <w:rPr>
          <w:rFonts w:hint="eastAsia"/>
          <w:snapToGrid w:val="0"/>
          <w:kern w:val="0"/>
          <w:lang w:val="en-US" w:eastAsia="zh-CN"/>
        </w:rPr>
        <w:t>7-2</w:t>
      </w:r>
      <w:r>
        <w:rPr>
          <w:rFonts w:hint="eastAsia"/>
          <w:snapToGrid w:val="0"/>
          <w:kern w:val="0"/>
        </w:rPr>
        <w:t>。</w:t>
      </w:r>
    </w:p>
    <w:p>
      <w:pPr>
        <w:pStyle w:val="43"/>
        <w:ind w:firstLine="480"/>
        <w:jc w:val="center"/>
        <w:rPr>
          <w:rFonts w:hint="eastAsia"/>
          <w:snapToGrid w:val="0"/>
          <w:kern w:val="0"/>
        </w:rPr>
      </w:pPr>
      <w:r>
        <w:rPr>
          <w:rFonts w:ascii="Times New Roman" w:hAnsi="Times New Roman" w:eastAsia="仿宋_GB2312"/>
          <w:b/>
          <w:bCs/>
          <w:sz w:val="24"/>
        </w:rPr>
        <w:t>表</w:t>
      </w:r>
      <w:r>
        <w:rPr>
          <w:rFonts w:hint="eastAsia" w:eastAsia="仿宋_GB2312"/>
          <w:b/>
          <w:bCs/>
          <w:sz w:val="24"/>
          <w:lang w:val="en-US" w:eastAsia="zh-CN"/>
        </w:rPr>
        <w:t>7</w:t>
      </w:r>
      <w:r>
        <w:rPr>
          <w:rFonts w:hint="eastAsia" w:ascii="Times New Roman" w:hAnsi="Times New Roman" w:eastAsia="仿宋_GB2312"/>
          <w:b/>
          <w:bCs/>
          <w:sz w:val="24"/>
          <w:lang w:val="en-US" w:eastAsia="zh-CN"/>
        </w:rPr>
        <w:t>-</w:t>
      </w:r>
      <w:r>
        <w:rPr>
          <w:rFonts w:ascii="Times New Roman" w:hAnsi="Times New Roman" w:eastAsia="仿宋_GB2312"/>
          <w:b/>
          <w:bCs/>
          <w:sz w:val="24"/>
        </w:rPr>
        <w:t>1  工程措施工程量汇总表</w:t>
      </w:r>
    </w:p>
    <w:tbl>
      <w:tblPr>
        <w:tblStyle w:val="24"/>
        <w:tblW w:w="88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70"/>
        <w:gridCol w:w="1714"/>
        <w:gridCol w:w="738"/>
        <w:gridCol w:w="1009"/>
        <w:gridCol w:w="1351"/>
        <w:gridCol w:w="1200"/>
        <w:gridCol w:w="20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数 量</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248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198"/>
                <w:rFonts w:hAnsi="宋体"/>
                <w:lang w:val="en-US" w:eastAsia="zh-CN" w:bidi="ar"/>
              </w:rPr>
              <w:t xml:space="preserve"> 工程措施</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204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1" w:hRule="atLeast"/>
          <w:jc w:val="center"/>
        </w:trPr>
        <w:tc>
          <w:tcPr>
            <w:tcW w:w="7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雨水收集池</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Times New Roman" w:hAnsi="Times New Roman" w:eastAsia="仿宋_GB2312"/>
                <w:kern w:val="0"/>
                <w:szCs w:val="21"/>
                <w:lang w:val="en-US" w:eastAsia="zh-CN"/>
              </w:rPr>
            </w:pPr>
            <w:r>
              <w:rPr>
                <w:rFonts w:hint="eastAsia" w:eastAsia="仿宋_GB2312"/>
                <w:kern w:val="0"/>
                <w:szCs w:val="21"/>
                <w:lang w:val="en-US" w:eastAsia="zh-CN"/>
              </w:rPr>
              <w:t>座</w:t>
            </w:r>
          </w:p>
        </w:tc>
        <w:tc>
          <w:tcPr>
            <w:tcW w:w="10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20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主体已有</w:t>
            </w:r>
          </w:p>
        </w:tc>
      </w:tr>
    </w:tbl>
    <w:p>
      <w:pPr>
        <w:jc w:val="center"/>
        <w:rPr>
          <w:rFonts w:ascii="Times New Roman" w:hAnsi="Times New Roman" w:eastAsia="仿宋_GB2312"/>
          <w:b/>
          <w:bCs/>
          <w:sz w:val="24"/>
        </w:rPr>
      </w:pPr>
    </w:p>
    <w:p>
      <w:pPr>
        <w:rPr>
          <w:rFonts w:ascii="Times New Roman" w:hAnsi="Times New Roman" w:eastAsia="仿宋_GB2312"/>
          <w:b/>
          <w:bCs/>
          <w:sz w:val="24"/>
        </w:rPr>
      </w:pPr>
      <w:r>
        <w:rPr>
          <w:rFonts w:ascii="Times New Roman" w:hAnsi="Times New Roman" w:eastAsia="仿宋_GB2312"/>
          <w:b/>
          <w:bCs/>
          <w:sz w:val="24"/>
        </w:rPr>
        <w:br w:type="page"/>
      </w:r>
    </w:p>
    <w:p>
      <w:pPr>
        <w:jc w:val="center"/>
        <w:rPr>
          <w:rFonts w:ascii="Times New Roman" w:hAnsi="Times New Roman" w:eastAsia="仿宋_GB2312"/>
          <w:b/>
          <w:bCs/>
          <w:sz w:val="24"/>
        </w:rPr>
      </w:pPr>
      <w:r>
        <w:rPr>
          <w:rFonts w:ascii="Times New Roman" w:hAnsi="Times New Roman" w:eastAsia="仿宋_GB2312"/>
          <w:b/>
          <w:bCs/>
          <w:sz w:val="24"/>
        </w:rPr>
        <w:t>表</w:t>
      </w:r>
      <w:r>
        <w:rPr>
          <w:rFonts w:hint="eastAsia" w:eastAsia="仿宋_GB2312"/>
          <w:b/>
          <w:bCs/>
          <w:sz w:val="24"/>
          <w:lang w:val="en-US" w:eastAsia="zh-CN"/>
        </w:rPr>
        <w:t>7</w:t>
      </w:r>
      <w:r>
        <w:rPr>
          <w:rFonts w:hint="eastAsia" w:ascii="Times New Roman" w:hAnsi="Times New Roman" w:eastAsia="仿宋_GB2312"/>
          <w:b/>
          <w:bCs/>
          <w:sz w:val="24"/>
          <w:lang w:val="en-US" w:eastAsia="zh-CN"/>
        </w:rPr>
        <w:t>-</w:t>
      </w:r>
      <w:r>
        <w:rPr>
          <w:rFonts w:ascii="Times New Roman" w:hAnsi="Times New Roman" w:eastAsia="仿宋_GB2312"/>
          <w:b/>
          <w:bCs/>
          <w:sz w:val="24"/>
        </w:rPr>
        <w:t>2  植物措施工程量汇总表</w:t>
      </w:r>
    </w:p>
    <w:tbl>
      <w:tblPr>
        <w:tblStyle w:val="24"/>
        <w:tblW w:w="88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77"/>
        <w:gridCol w:w="1923"/>
        <w:gridCol w:w="877"/>
        <w:gridCol w:w="868"/>
        <w:gridCol w:w="1337"/>
        <w:gridCol w:w="1213"/>
        <w:gridCol w:w="20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工程量</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20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25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206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工业场地</w:t>
            </w:r>
            <w:r>
              <w:rPr>
                <w:rFonts w:hint="default" w:ascii="仿宋_GB2312" w:hAnsi="宋体" w:eastAsia="仿宋_GB2312" w:cs="仿宋_GB2312"/>
                <w:b/>
                <w:i w:val="0"/>
                <w:color w:val="000000"/>
                <w:kern w:val="0"/>
                <w:sz w:val="21"/>
                <w:szCs w:val="21"/>
                <w:u w:val="none"/>
                <w:lang w:val="en-US" w:eastAsia="zh-CN" w:bidi="ar"/>
              </w:rPr>
              <w:t>防治区</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2063" w:type="dxa"/>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r>
              <w:rPr>
                <w:rFonts w:hint="eastAsia" w:ascii="仿宋_GB2312" w:hAnsi="宋体" w:eastAsia="仿宋_GB2312" w:cs="仿宋_GB2312"/>
                <w:b w:val="0"/>
                <w:bCs/>
                <w:i w:val="0"/>
                <w:color w:val="000000"/>
                <w:kern w:val="0"/>
                <w:sz w:val="21"/>
                <w:szCs w:val="21"/>
                <w:u w:val="none"/>
                <w:lang w:val="en-US" w:eastAsia="zh-CN" w:bidi="ar"/>
              </w:rPr>
              <w:t>1</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sz w:val="21"/>
                <w:szCs w:val="21"/>
                <w:u w:val="none"/>
                <w:lang w:val="en-US" w:eastAsia="zh-CN"/>
              </w:rPr>
              <w:t>0.01</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p>
        </w:tc>
        <w:tc>
          <w:tcPr>
            <w:tcW w:w="206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主体已有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2</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0.12</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2063" w:type="dxa"/>
            <w:vMerge w:val="restart"/>
            <w:tcBorders>
              <w:top w:val="single" w:color="auto" w:sz="4" w:space="0"/>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栽植</w:t>
            </w:r>
            <w:r>
              <w:rPr>
                <w:rFonts w:hint="eastAsia" w:ascii="仿宋_GB2312" w:hAnsi="宋体" w:eastAsia="仿宋_GB2312" w:cs="仿宋_GB2312"/>
                <w:i w:val="0"/>
                <w:color w:val="000000"/>
                <w:kern w:val="0"/>
                <w:sz w:val="21"/>
                <w:szCs w:val="21"/>
                <w:u w:val="none"/>
                <w:lang w:val="en-US" w:eastAsia="zh-CN" w:bidi="ar"/>
              </w:rPr>
              <w:t>油松</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2"/>
                <w:szCs w:val="22"/>
                <w:u w:val="none"/>
                <w:lang w:val="en-US" w:eastAsia="zh-CN" w:bidi="ar-SA"/>
              </w:rPr>
            </w:pP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kern w:val="2"/>
                <w:sz w:val="22"/>
                <w:szCs w:val="22"/>
                <w:u w:val="none"/>
                <w:lang w:val="en-US" w:eastAsia="zh-CN" w:bidi="ar-SA"/>
              </w:rPr>
            </w:pP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2063" w:type="dxa"/>
            <w:vMerge w:val="continue"/>
            <w:tcBorders>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kern w:val="2"/>
                <w:sz w:val="22"/>
                <w:szCs w:val="22"/>
                <w:u w:val="none"/>
                <w:lang w:val="en-US" w:eastAsia="zh-CN" w:bidi="ar-SA"/>
              </w:rPr>
            </w:pP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穴状整地（</w:t>
            </w:r>
            <w:r>
              <w:rPr>
                <w:rFonts w:hint="eastAsia" w:ascii="仿宋_GB2312" w:hAnsi="宋体" w:eastAsia="仿宋_GB2312" w:cs="仿宋_GB2312"/>
                <w:i w:val="0"/>
                <w:color w:val="000000"/>
                <w:kern w:val="0"/>
                <w:sz w:val="21"/>
                <w:szCs w:val="21"/>
                <w:u w:val="none"/>
                <w:lang w:val="en-US" w:eastAsia="zh-CN" w:bidi="ar"/>
              </w:rPr>
              <w:t>6</w:t>
            </w:r>
            <w:r>
              <w:rPr>
                <w:rStyle w:val="199"/>
                <w:rFonts w:eastAsia="仿宋_GB2312"/>
                <w:lang w:val="en-US" w:eastAsia="zh-CN" w:bidi="ar"/>
              </w:rPr>
              <w:t>0×</w:t>
            </w:r>
            <w:r>
              <w:rPr>
                <w:rStyle w:val="200"/>
                <w:rFonts w:hint="eastAsia" w:hAnsi="宋体"/>
                <w:lang w:val="en-US" w:eastAsia="zh-CN" w:bidi="ar"/>
              </w:rPr>
              <w:t>60</w:t>
            </w:r>
            <w:r>
              <w:rPr>
                <w:rStyle w:val="200"/>
                <w:rFonts w:hAnsi="宋体"/>
                <w:lang w:val="en-US" w:eastAsia="zh-CN" w:bidi="ar"/>
              </w:rPr>
              <w:t>）</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个</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200</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1.03</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ascii="Times New Roman" w:hAnsi="Times New Roman" w:eastAsia="宋体" w:cs="Times New Roman"/>
                <w:i w:val="0"/>
                <w:color w:val="000000"/>
                <w:kern w:val="0"/>
                <w:sz w:val="22"/>
                <w:szCs w:val="22"/>
                <w:u w:val="none"/>
                <w:lang w:val="en-US" w:eastAsia="zh-CN" w:bidi="ar"/>
              </w:rPr>
              <w:t xml:space="preserve">206 </w:t>
            </w:r>
          </w:p>
        </w:tc>
        <w:tc>
          <w:tcPr>
            <w:tcW w:w="2063" w:type="dxa"/>
            <w:vMerge w:val="continue"/>
            <w:tcBorders>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kern w:val="2"/>
                <w:sz w:val="22"/>
                <w:szCs w:val="22"/>
                <w:u w:val="none"/>
                <w:lang w:val="en-US" w:eastAsia="zh-CN" w:bidi="ar-SA"/>
              </w:rPr>
            </w:pP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栽植苗数</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株</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200</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1.03</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ascii="Times New Roman" w:hAnsi="Times New Roman" w:eastAsia="宋体" w:cs="Times New Roman"/>
                <w:i w:val="0"/>
                <w:color w:val="000000"/>
                <w:kern w:val="0"/>
                <w:sz w:val="22"/>
                <w:szCs w:val="22"/>
                <w:u w:val="none"/>
                <w:lang w:val="en-US" w:eastAsia="zh-CN" w:bidi="ar"/>
              </w:rPr>
              <w:t>206</w:t>
            </w:r>
          </w:p>
        </w:tc>
        <w:tc>
          <w:tcPr>
            <w:tcW w:w="2063" w:type="dxa"/>
            <w:vMerge w:val="continue"/>
            <w:tcBorders>
              <w:left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kern w:val="2"/>
                <w:sz w:val="22"/>
                <w:szCs w:val="22"/>
                <w:u w:val="none"/>
                <w:lang w:val="en-US" w:eastAsia="zh-CN" w:bidi="ar-SA"/>
              </w:rPr>
            </w:pP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需苗量</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2"/>
                <w:sz w:val="21"/>
                <w:szCs w:val="21"/>
                <w:u w:val="none"/>
                <w:lang w:val="en-US" w:eastAsia="zh-CN" w:bidi="ar-SA"/>
              </w:rPr>
            </w:pPr>
            <w:r>
              <w:rPr>
                <w:rFonts w:hint="default" w:ascii="仿宋_GB2312" w:hAnsi="宋体" w:eastAsia="仿宋_GB2312" w:cs="仿宋_GB2312"/>
                <w:i w:val="0"/>
                <w:color w:val="000000"/>
                <w:kern w:val="0"/>
                <w:sz w:val="21"/>
                <w:szCs w:val="21"/>
                <w:u w:val="none"/>
                <w:lang w:val="en-US" w:eastAsia="zh-CN" w:bidi="ar"/>
              </w:rPr>
              <w:t>株</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204</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1.03</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ascii="Times New Roman" w:hAnsi="Times New Roman" w:eastAsia="宋体" w:cs="Times New Roman"/>
                <w:i w:val="0"/>
                <w:color w:val="000000"/>
                <w:kern w:val="0"/>
                <w:sz w:val="22"/>
                <w:szCs w:val="22"/>
                <w:u w:val="none"/>
                <w:lang w:val="en-US" w:eastAsia="zh-CN" w:bidi="ar"/>
              </w:rPr>
              <w:t xml:space="preserve">211 </w:t>
            </w:r>
          </w:p>
        </w:tc>
        <w:tc>
          <w:tcPr>
            <w:tcW w:w="2063" w:type="dxa"/>
            <w:vMerge w:val="continue"/>
            <w:tcBorders>
              <w:left w:val="single" w:color="000000" w:sz="4" w:space="0"/>
              <w:bottom w:val="single" w:color="auto"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二</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办公生活</w:t>
            </w:r>
            <w:r>
              <w:rPr>
                <w:rFonts w:hint="default" w:ascii="仿宋_GB2312" w:hAnsi="宋体" w:eastAsia="仿宋_GB2312" w:cs="仿宋_GB2312"/>
                <w:b/>
                <w:i w:val="0"/>
                <w:color w:val="000000"/>
                <w:kern w:val="0"/>
                <w:sz w:val="21"/>
                <w:szCs w:val="21"/>
                <w:u w:val="none"/>
                <w:lang w:val="en-US" w:eastAsia="zh-CN" w:bidi="ar"/>
              </w:rPr>
              <w:t>防治区</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2063" w:type="dxa"/>
            <w:tcBorders>
              <w:top w:val="single" w:color="auto" w:sz="4" w:space="0"/>
              <w:left w:val="single" w:color="000000" w:sz="4" w:space="0"/>
              <w:bottom w:val="single" w:color="auto"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jc w:val="center"/>
        </w:trPr>
        <w:tc>
          <w:tcPr>
            <w:tcW w:w="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1</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2"/>
                <w:sz w:val="21"/>
                <w:szCs w:val="21"/>
                <w:u w:val="none"/>
                <w:lang w:val="en-US" w:eastAsia="zh-CN" w:bidi="ar-SA"/>
              </w:rPr>
            </w:pPr>
            <w:r>
              <w:rPr>
                <w:rFonts w:hint="eastAsia" w:eastAsia="宋体" w:cs="Times New Roman"/>
                <w:i w:val="0"/>
                <w:color w:val="000000"/>
                <w:sz w:val="21"/>
                <w:szCs w:val="21"/>
                <w:u w:val="none"/>
                <w:lang w:val="en-US" w:eastAsia="zh-CN"/>
              </w:rPr>
              <w:t>0.01</w:t>
            </w:r>
          </w:p>
        </w:tc>
        <w:tc>
          <w:tcPr>
            <w:tcW w:w="1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p>
        </w:tc>
        <w:tc>
          <w:tcPr>
            <w:tcW w:w="2063"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2"/>
                <w:sz w:val="21"/>
                <w:szCs w:val="21"/>
                <w:u w:val="none"/>
                <w:lang w:val="en-US" w:eastAsia="zh-CN" w:bidi="ar-SA"/>
              </w:rPr>
            </w:pPr>
            <w:r>
              <w:rPr>
                <w:rFonts w:hint="eastAsia" w:ascii="仿宋_GB2312" w:hAnsi="宋体" w:eastAsia="仿宋_GB2312" w:cs="仿宋_GB2312"/>
                <w:i w:val="0"/>
                <w:color w:val="000000"/>
                <w:sz w:val="21"/>
                <w:szCs w:val="21"/>
                <w:u w:val="none"/>
                <w:lang w:eastAsia="zh-CN"/>
              </w:rPr>
              <w:t>主体已有</w:t>
            </w:r>
          </w:p>
        </w:tc>
      </w:tr>
    </w:tbl>
    <w:p>
      <w:pPr>
        <w:pStyle w:val="37"/>
      </w:pPr>
      <w:bookmarkStart w:id="33" w:name="_Toc510511020"/>
      <w:bookmarkStart w:id="34" w:name="_Toc1117827"/>
      <w:bookmarkStart w:id="35" w:name="_Toc501443575"/>
      <w:r>
        <w:rPr>
          <w:rFonts w:hint="eastAsia"/>
        </w:rPr>
        <w:t>8</w:t>
      </w:r>
      <w:r>
        <w:t xml:space="preserve"> 水土保持投资</w:t>
      </w:r>
      <w:bookmarkEnd w:id="33"/>
      <w:bookmarkEnd w:id="34"/>
      <w:bookmarkEnd w:id="35"/>
    </w:p>
    <w:p>
      <w:pPr>
        <w:pStyle w:val="43"/>
        <w:ind w:firstLine="480"/>
        <w:rPr>
          <w:rFonts w:hint="eastAsia"/>
          <w:snapToGrid w:val="0"/>
          <w:kern w:val="0"/>
        </w:rPr>
      </w:pPr>
      <w:r>
        <w:rPr>
          <w:rFonts w:hint="eastAsia"/>
          <w:snapToGrid w:val="0"/>
          <w:kern w:val="0"/>
          <w:lang w:val="en-US" w:eastAsia="zh-CN"/>
        </w:rPr>
        <w:t>1、</w:t>
      </w:r>
      <w:r>
        <w:rPr>
          <w:rFonts w:hint="eastAsia"/>
          <w:snapToGrid w:val="0"/>
          <w:kern w:val="0"/>
        </w:rPr>
        <w:t>本方案费用构成如下：工程措施费、植物措施费、临时工程费、独立费用和基本预备费。另外，还有属于行政性收费项目的水土保持补偿费。</w:t>
      </w:r>
    </w:p>
    <w:p>
      <w:pPr>
        <w:pStyle w:val="43"/>
        <w:ind w:firstLine="480"/>
        <w:rPr>
          <w:rFonts w:hint="eastAsia"/>
          <w:snapToGrid w:val="0"/>
          <w:kern w:val="0"/>
        </w:rPr>
      </w:pPr>
      <w:r>
        <w:rPr>
          <w:rFonts w:hint="eastAsia"/>
          <w:snapToGrid w:val="0"/>
          <w:kern w:val="0"/>
        </w:rPr>
        <w:t>（1）工程措施费</w:t>
      </w:r>
    </w:p>
    <w:p>
      <w:pPr>
        <w:pStyle w:val="43"/>
        <w:ind w:firstLine="480"/>
        <w:rPr>
          <w:rFonts w:hint="eastAsia"/>
          <w:snapToGrid w:val="0"/>
          <w:kern w:val="0"/>
        </w:rPr>
      </w:pPr>
      <w:r>
        <w:rPr>
          <w:rFonts w:hint="eastAsia"/>
          <w:snapToGrid w:val="0"/>
          <w:kern w:val="0"/>
        </w:rPr>
        <w:t>工程措施费按设计工程量乘以工程单价进行编制。</w:t>
      </w:r>
    </w:p>
    <w:p>
      <w:pPr>
        <w:pStyle w:val="43"/>
        <w:ind w:firstLine="480"/>
        <w:rPr>
          <w:rFonts w:hint="eastAsia"/>
          <w:snapToGrid w:val="0"/>
          <w:kern w:val="0"/>
        </w:rPr>
      </w:pPr>
      <w:r>
        <w:rPr>
          <w:rFonts w:hint="eastAsia"/>
          <w:snapToGrid w:val="0"/>
          <w:kern w:val="0"/>
        </w:rPr>
        <w:t>（2）植物措施费</w:t>
      </w:r>
    </w:p>
    <w:p>
      <w:pPr>
        <w:pStyle w:val="43"/>
        <w:ind w:firstLine="480"/>
        <w:rPr>
          <w:rFonts w:hint="eastAsia"/>
          <w:snapToGrid w:val="0"/>
          <w:kern w:val="0"/>
        </w:rPr>
      </w:pPr>
      <w:r>
        <w:rPr>
          <w:rFonts w:hint="eastAsia"/>
          <w:snapToGrid w:val="0"/>
          <w:kern w:val="0"/>
        </w:rPr>
        <w:t>植物措施费由整地费和苗木、草、种子等材料费及种植费组成。</w:t>
      </w:r>
    </w:p>
    <w:p>
      <w:pPr>
        <w:pStyle w:val="43"/>
        <w:ind w:firstLine="480"/>
        <w:rPr>
          <w:rFonts w:hint="eastAsia"/>
          <w:snapToGrid w:val="0"/>
          <w:kern w:val="0"/>
        </w:rPr>
      </w:pPr>
      <w:r>
        <w:rPr>
          <w:rFonts w:hint="eastAsia"/>
          <w:snapToGrid w:val="0"/>
          <w:kern w:val="0"/>
        </w:rPr>
        <w:t>1）植物措施材料费由苗木、草、种子的预算价格乘数量进行编制。</w:t>
      </w:r>
    </w:p>
    <w:p>
      <w:pPr>
        <w:pStyle w:val="43"/>
        <w:ind w:firstLine="480"/>
        <w:rPr>
          <w:rFonts w:hint="eastAsia"/>
          <w:snapToGrid w:val="0"/>
          <w:kern w:val="0"/>
        </w:rPr>
      </w:pPr>
      <w:r>
        <w:rPr>
          <w:rFonts w:hint="eastAsia"/>
          <w:snapToGrid w:val="0"/>
          <w:kern w:val="0"/>
        </w:rPr>
        <w:t>2）整地、栽（种）植费按《水土保持工程概算定额》进行编制。</w:t>
      </w:r>
    </w:p>
    <w:p>
      <w:pPr>
        <w:pStyle w:val="43"/>
        <w:ind w:firstLine="480"/>
        <w:rPr>
          <w:rFonts w:hint="eastAsia"/>
          <w:snapToGrid w:val="0"/>
          <w:kern w:val="0"/>
        </w:rPr>
      </w:pPr>
      <w:r>
        <w:rPr>
          <w:rFonts w:hint="eastAsia"/>
          <w:snapToGrid w:val="0"/>
          <w:kern w:val="0"/>
        </w:rPr>
        <w:t>（3）临时工程费</w:t>
      </w:r>
    </w:p>
    <w:p>
      <w:pPr>
        <w:pStyle w:val="43"/>
        <w:ind w:firstLine="480"/>
        <w:rPr>
          <w:rFonts w:hint="eastAsia"/>
          <w:snapToGrid w:val="0"/>
          <w:kern w:val="0"/>
        </w:rPr>
      </w:pPr>
      <w:r>
        <w:rPr>
          <w:rFonts w:hint="eastAsia"/>
          <w:snapToGrid w:val="0"/>
          <w:kern w:val="0"/>
        </w:rPr>
        <w:t>1）临时防护工程</w:t>
      </w:r>
    </w:p>
    <w:p>
      <w:pPr>
        <w:pStyle w:val="43"/>
        <w:ind w:firstLine="480"/>
        <w:rPr>
          <w:rFonts w:hint="eastAsia"/>
          <w:snapToGrid w:val="0"/>
          <w:kern w:val="0"/>
        </w:rPr>
      </w:pPr>
      <w:r>
        <w:rPr>
          <w:rFonts w:hint="eastAsia"/>
          <w:snapToGrid w:val="0"/>
          <w:kern w:val="0"/>
        </w:rPr>
        <w:t>按设计方案的工程量乘以单价编制。</w:t>
      </w:r>
    </w:p>
    <w:p>
      <w:pPr>
        <w:pStyle w:val="43"/>
        <w:ind w:firstLine="480"/>
        <w:rPr>
          <w:rFonts w:hint="eastAsia"/>
          <w:snapToGrid w:val="0"/>
          <w:kern w:val="0"/>
        </w:rPr>
      </w:pPr>
      <w:r>
        <w:rPr>
          <w:rFonts w:hint="eastAsia"/>
          <w:snapToGrid w:val="0"/>
          <w:kern w:val="0"/>
        </w:rPr>
        <w:t>2）其它临时工程</w:t>
      </w:r>
    </w:p>
    <w:p>
      <w:pPr>
        <w:pStyle w:val="43"/>
        <w:ind w:firstLine="480"/>
        <w:rPr>
          <w:rFonts w:hint="eastAsia"/>
          <w:snapToGrid w:val="0"/>
          <w:kern w:val="0"/>
        </w:rPr>
      </w:pPr>
      <w:r>
        <w:rPr>
          <w:rFonts w:hint="eastAsia"/>
          <w:snapToGrid w:val="0"/>
          <w:kern w:val="0"/>
        </w:rPr>
        <w:t>按第一部分工程措施和第二部分植物措施投资的2%编制。</w:t>
      </w:r>
    </w:p>
    <w:p>
      <w:pPr>
        <w:pStyle w:val="43"/>
        <w:ind w:firstLine="480"/>
        <w:rPr>
          <w:rFonts w:hint="eastAsia"/>
          <w:snapToGrid w:val="0"/>
          <w:kern w:val="0"/>
        </w:rPr>
      </w:pPr>
      <w:r>
        <w:rPr>
          <w:rFonts w:hint="eastAsia"/>
          <w:snapToGrid w:val="0"/>
          <w:kern w:val="0"/>
        </w:rPr>
        <w:t>（4）独立费用</w:t>
      </w:r>
    </w:p>
    <w:p>
      <w:pPr>
        <w:pStyle w:val="43"/>
        <w:ind w:firstLine="480"/>
        <w:rPr>
          <w:rFonts w:hint="eastAsia"/>
          <w:snapToGrid w:val="0"/>
          <w:kern w:val="0"/>
        </w:rPr>
      </w:pPr>
      <w:r>
        <w:rPr>
          <w:rFonts w:hint="eastAsia"/>
          <w:snapToGrid w:val="0"/>
          <w:kern w:val="0"/>
        </w:rPr>
        <w:t>1）建设管理费：按第一至三部分之和的2%计算，应满足水土保持专项验收和评估的需要，不足部分从预备费中支出。</w:t>
      </w:r>
    </w:p>
    <w:p>
      <w:pPr>
        <w:pStyle w:val="43"/>
        <w:ind w:firstLine="480"/>
        <w:rPr>
          <w:rFonts w:hint="eastAsia"/>
          <w:snapToGrid w:val="0"/>
          <w:kern w:val="0"/>
        </w:rPr>
      </w:pPr>
      <w:r>
        <w:rPr>
          <w:rFonts w:hint="eastAsia"/>
          <w:snapToGrid w:val="0"/>
          <w:kern w:val="0"/>
        </w:rPr>
        <w:t>2）勘察设计费：按照《工程勘察设计收费管理规定》（国家计委、建设部 计价格[2002]10号）计算。</w:t>
      </w:r>
    </w:p>
    <w:p>
      <w:pPr>
        <w:pStyle w:val="43"/>
        <w:ind w:firstLine="480"/>
        <w:rPr>
          <w:rFonts w:hint="eastAsia"/>
          <w:snapToGrid w:val="0"/>
          <w:kern w:val="0"/>
        </w:rPr>
      </w:pPr>
      <w:r>
        <w:rPr>
          <w:rFonts w:hint="eastAsia"/>
          <w:snapToGrid w:val="0"/>
          <w:kern w:val="0"/>
        </w:rPr>
        <w:t>3）工程建设监理费：</w:t>
      </w:r>
      <w:r>
        <w:rPr>
          <w:rFonts w:hint="eastAsia"/>
          <w:snapToGrid w:val="0"/>
          <w:kern w:val="0"/>
          <w:lang w:eastAsia="zh-CN"/>
        </w:rPr>
        <w:t>项目主体已建设完毕，监理费用不进行计算</w:t>
      </w:r>
      <w:r>
        <w:rPr>
          <w:rFonts w:hint="eastAsia"/>
          <w:snapToGrid w:val="0"/>
          <w:kern w:val="0"/>
        </w:rPr>
        <w:t>。</w:t>
      </w:r>
    </w:p>
    <w:p>
      <w:pPr>
        <w:pStyle w:val="43"/>
        <w:ind w:firstLine="480"/>
        <w:rPr>
          <w:rFonts w:hint="eastAsia"/>
          <w:snapToGrid w:val="0"/>
          <w:kern w:val="0"/>
        </w:rPr>
      </w:pPr>
      <w:r>
        <w:rPr>
          <w:rFonts w:hint="eastAsia"/>
          <w:snapToGrid w:val="0"/>
          <w:kern w:val="0"/>
          <w:lang w:val="en-US" w:eastAsia="zh-CN"/>
        </w:rPr>
        <w:t>4</w:t>
      </w:r>
      <w:r>
        <w:rPr>
          <w:rFonts w:hint="eastAsia"/>
          <w:snapToGrid w:val="0"/>
          <w:kern w:val="0"/>
        </w:rPr>
        <w:t>）水土保持设施验</w:t>
      </w:r>
      <w:r>
        <w:rPr>
          <w:rFonts w:hint="eastAsia"/>
          <w:snapToGrid w:val="0"/>
          <w:kern w:val="0"/>
          <w:lang w:eastAsia="zh-CN"/>
        </w:rPr>
        <w:t>收</w:t>
      </w:r>
      <w:r>
        <w:rPr>
          <w:rFonts w:hint="eastAsia"/>
          <w:snapToGrid w:val="0"/>
          <w:kern w:val="0"/>
        </w:rPr>
        <w:t>费：</w:t>
      </w:r>
      <w:r>
        <w:rPr>
          <w:rFonts w:hint="eastAsia"/>
          <w:snapToGrid w:val="0"/>
          <w:kern w:val="0"/>
          <w:lang w:eastAsia="zh-CN"/>
        </w:rPr>
        <w:t>水土保持验收费用应</w:t>
      </w:r>
      <w:r>
        <w:rPr>
          <w:rFonts w:hint="eastAsia"/>
          <w:snapToGrid w:val="0"/>
          <w:kern w:val="0"/>
        </w:rPr>
        <w:t>参照市场行情</w:t>
      </w:r>
      <w:r>
        <w:rPr>
          <w:rFonts w:hint="eastAsia"/>
          <w:snapToGrid w:val="0"/>
          <w:kern w:val="0"/>
          <w:lang w:eastAsia="zh-CN"/>
        </w:rPr>
        <w:t>另行计算</w:t>
      </w:r>
      <w:r>
        <w:rPr>
          <w:rFonts w:hint="eastAsia"/>
          <w:snapToGrid w:val="0"/>
          <w:kern w:val="0"/>
        </w:rPr>
        <w:t>。</w:t>
      </w:r>
    </w:p>
    <w:p>
      <w:pPr>
        <w:pStyle w:val="43"/>
        <w:ind w:firstLine="480"/>
        <w:rPr>
          <w:rFonts w:hint="eastAsia"/>
          <w:snapToGrid w:val="0"/>
          <w:kern w:val="0"/>
        </w:rPr>
      </w:pPr>
      <w:r>
        <w:rPr>
          <w:rFonts w:hint="eastAsia"/>
          <w:snapToGrid w:val="0"/>
          <w:kern w:val="0"/>
        </w:rPr>
        <w:t>（5）基本预备费</w:t>
      </w:r>
    </w:p>
    <w:p>
      <w:pPr>
        <w:pStyle w:val="43"/>
        <w:ind w:firstLine="480"/>
        <w:rPr>
          <w:rFonts w:hint="eastAsia"/>
          <w:snapToGrid w:val="0"/>
          <w:kern w:val="0"/>
        </w:rPr>
      </w:pPr>
      <w:r>
        <w:rPr>
          <w:rFonts w:hint="eastAsia"/>
          <w:snapToGrid w:val="0"/>
          <w:kern w:val="0"/>
        </w:rPr>
        <w:t>基本预备费按工程措施、植物措施、施工临时工程、独立费用之和的3%计算。价差预备费按晋计设字（1999）608号“关于转发《国家计委关于加强对基本建设大中型项目估算中“价差预备费”管理有关问题的通知》的通知”投资价格指数一律按零计算。</w:t>
      </w:r>
    </w:p>
    <w:p>
      <w:pPr>
        <w:pStyle w:val="43"/>
        <w:ind w:firstLine="480"/>
        <w:rPr>
          <w:rFonts w:hint="eastAsia"/>
          <w:snapToGrid w:val="0"/>
          <w:kern w:val="0"/>
        </w:rPr>
      </w:pPr>
      <w:r>
        <w:rPr>
          <w:rFonts w:hint="eastAsia"/>
          <w:snapToGrid w:val="0"/>
          <w:kern w:val="0"/>
        </w:rPr>
        <w:t>（6）水土保持补偿费</w:t>
      </w:r>
    </w:p>
    <w:p>
      <w:pPr>
        <w:pStyle w:val="43"/>
        <w:ind w:firstLine="480"/>
        <w:rPr>
          <w:rFonts w:hint="eastAsia"/>
          <w:snapToGrid w:val="0"/>
          <w:kern w:val="0"/>
        </w:rPr>
      </w:pPr>
      <w:r>
        <w:rPr>
          <w:rFonts w:hint="eastAsia"/>
          <w:snapToGrid w:val="0"/>
          <w:kern w:val="0"/>
        </w:rPr>
        <w:t>根据山西省发展和改革委员会、山西省财政厅、山西省水利厅文件《关于水土保持补偿费收费标准的通知》（晋发改价格发[2018]464号）规定，本项目按照征占用土地面积一次性计征，每平方米0.4元（不足1平方米的按1平方米计）。该项目占地面积</w:t>
      </w:r>
      <w:r>
        <w:rPr>
          <w:rFonts w:hint="eastAsia"/>
          <w:snapToGrid w:val="0"/>
          <w:kern w:val="0"/>
          <w:lang w:val="en-US" w:eastAsia="zh-CN"/>
        </w:rPr>
        <w:t>1.72</w:t>
      </w:r>
      <w:r>
        <w:rPr>
          <w:rFonts w:hint="eastAsia"/>
          <w:snapToGrid w:val="0"/>
          <w:kern w:val="0"/>
        </w:rPr>
        <w:t>hm</w:t>
      </w:r>
      <w:r>
        <w:rPr>
          <w:rFonts w:hint="eastAsia"/>
          <w:snapToGrid w:val="0"/>
          <w:kern w:val="0"/>
          <w:vertAlign w:val="superscript"/>
        </w:rPr>
        <w:t>2</w:t>
      </w:r>
      <w:r>
        <w:rPr>
          <w:rFonts w:hint="eastAsia"/>
          <w:snapToGrid w:val="0"/>
          <w:kern w:val="0"/>
        </w:rPr>
        <w:t>，水土保持补偿费</w:t>
      </w:r>
      <w:r>
        <w:rPr>
          <w:rFonts w:hint="eastAsia"/>
          <w:snapToGrid w:val="0"/>
          <w:kern w:val="0"/>
          <w:lang w:val="en-US" w:eastAsia="zh-CN"/>
        </w:rPr>
        <w:t>0.688</w:t>
      </w:r>
      <w:r>
        <w:rPr>
          <w:rFonts w:hint="eastAsia"/>
          <w:snapToGrid w:val="0"/>
          <w:kern w:val="0"/>
        </w:rPr>
        <w:t>万元。</w:t>
      </w:r>
    </w:p>
    <w:p>
      <w:pPr>
        <w:pStyle w:val="43"/>
        <w:ind w:firstLine="480"/>
        <w:rPr>
          <w:rFonts w:hint="eastAsia"/>
          <w:snapToGrid w:val="0"/>
          <w:kern w:val="0"/>
        </w:rPr>
      </w:pPr>
      <w:r>
        <w:rPr>
          <w:rFonts w:hint="eastAsia"/>
          <w:snapToGrid w:val="0"/>
          <w:kern w:val="0"/>
        </w:rPr>
        <w:t>项目水土保持总投资</w:t>
      </w:r>
      <w:r>
        <w:rPr>
          <w:rFonts w:hint="eastAsia"/>
          <w:snapToGrid w:val="0"/>
          <w:kern w:val="0"/>
          <w:lang w:val="en-US" w:eastAsia="zh-CN"/>
        </w:rPr>
        <w:t>5.818</w:t>
      </w:r>
      <w:r>
        <w:rPr>
          <w:rFonts w:hint="eastAsia"/>
          <w:snapToGrid w:val="0"/>
          <w:kern w:val="0"/>
        </w:rPr>
        <w:t>万元。总投资中工程措施费</w:t>
      </w:r>
      <w:r>
        <w:rPr>
          <w:rFonts w:hint="eastAsia"/>
          <w:snapToGrid w:val="0"/>
          <w:kern w:val="0"/>
          <w:lang w:val="en-US" w:eastAsia="zh-CN"/>
        </w:rPr>
        <w:t>4.2</w:t>
      </w:r>
      <w:r>
        <w:rPr>
          <w:rFonts w:hint="eastAsia"/>
          <w:snapToGrid w:val="0"/>
          <w:kern w:val="0"/>
        </w:rPr>
        <w:t>万元、植物措施费</w:t>
      </w:r>
      <w:r>
        <w:rPr>
          <w:rFonts w:hint="eastAsia"/>
          <w:snapToGrid w:val="0"/>
          <w:kern w:val="0"/>
          <w:lang w:val="en-US" w:eastAsia="zh-CN"/>
        </w:rPr>
        <w:t>0.68</w:t>
      </w:r>
      <w:r>
        <w:rPr>
          <w:rFonts w:hint="eastAsia"/>
          <w:snapToGrid w:val="0"/>
          <w:kern w:val="0"/>
        </w:rPr>
        <w:t>万元、独立费用</w:t>
      </w:r>
      <w:r>
        <w:rPr>
          <w:rFonts w:hint="eastAsia"/>
          <w:snapToGrid w:val="0"/>
          <w:kern w:val="0"/>
          <w:lang w:val="en-US" w:eastAsia="zh-CN"/>
        </w:rPr>
        <w:t>0.1</w:t>
      </w:r>
      <w:r>
        <w:rPr>
          <w:rFonts w:hint="eastAsia"/>
          <w:snapToGrid w:val="0"/>
          <w:kern w:val="0"/>
        </w:rPr>
        <w:t>万元、基本预备费</w:t>
      </w:r>
      <w:r>
        <w:rPr>
          <w:rFonts w:hint="eastAsia"/>
          <w:snapToGrid w:val="0"/>
          <w:kern w:val="0"/>
          <w:lang w:val="en-US" w:eastAsia="zh-CN"/>
        </w:rPr>
        <w:t>0.15</w:t>
      </w:r>
      <w:r>
        <w:rPr>
          <w:rFonts w:hint="eastAsia"/>
          <w:snapToGrid w:val="0"/>
          <w:kern w:val="0"/>
        </w:rPr>
        <w:t>万元、水土保持补偿费</w:t>
      </w:r>
      <w:r>
        <w:rPr>
          <w:rFonts w:hint="eastAsia"/>
          <w:snapToGrid w:val="0"/>
          <w:kern w:val="0"/>
          <w:lang w:val="en-US" w:eastAsia="zh-CN"/>
        </w:rPr>
        <w:t>0.688</w:t>
      </w:r>
      <w:r>
        <w:rPr>
          <w:rFonts w:hint="eastAsia"/>
          <w:snapToGrid w:val="0"/>
          <w:kern w:val="0"/>
        </w:rPr>
        <w:t>万元。</w:t>
      </w:r>
      <w:r>
        <w:rPr>
          <w:snapToGrid w:val="0"/>
          <w:kern w:val="0"/>
        </w:rPr>
        <w:t>水土</w:t>
      </w:r>
      <w:r>
        <w:rPr>
          <w:rFonts w:hint="eastAsia"/>
          <w:snapToGrid w:val="0"/>
          <w:kern w:val="0"/>
        </w:rPr>
        <w:t>保持</w:t>
      </w:r>
      <w:r>
        <w:rPr>
          <w:snapToGrid w:val="0"/>
          <w:kern w:val="0"/>
        </w:rPr>
        <w:t>工程投资概算详见表</w:t>
      </w:r>
      <w:r>
        <w:rPr>
          <w:rFonts w:hint="eastAsia"/>
          <w:snapToGrid w:val="0"/>
          <w:kern w:val="0"/>
        </w:rPr>
        <w:t>8-1</w:t>
      </w:r>
      <w:r>
        <w:rPr>
          <w:rFonts w:hint="eastAsia"/>
          <w:snapToGrid w:val="0"/>
          <w:kern w:val="0"/>
          <w:lang w:eastAsia="zh-CN"/>
        </w:rPr>
        <w:t>至</w:t>
      </w:r>
      <w:r>
        <w:rPr>
          <w:rFonts w:hint="eastAsia"/>
          <w:snapToGrid w:val="0"/>
          <w:kern w:val="0"/>
          <w:lang w:val="en-US" w:eastAsia="zh-CN"/>
        </w:rPr>
        <w:t>8-5</w:t>
      </w:r>
      <w:r>
        <w:rPr>
          <w:rFonts w:hint="eastAsia"/>
          <w:snapToGrid w:val="0"/>
          <w:kern w:val="0"/>
        </w:rPr>
        <w:t>。</w:t>
      </w:r>
    </w:p>
    <w:p>
      <w:pPr>
        <w:rPr>
          <w:rFonts w:ascii="Times New Roman" w:hAnsi="Times New Roman" w:eastAsia="仿宋_GB2312"/>
          <w:b/>
          <w:sz w:val="24"/>
        </w:rPr>
      </w:pPr>
      <w:r>
        <w:rPr>
          <w:rFonts w:ascii="Times New Roman" w:hAnsi="Times New Roman" w:eastAsia="仿宋_GB2312"/>
          <w:b/>
          <w:sz w:val="24"/>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-1  水土保持工程投资概算总表          单位：万元</w:t>
      </w:r>
    </w:p>
    <w:tbl>
      <w:tblPr>
        <w:tblStyle w:val="24"/>
        <w:tblW w:w="92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51"/>
        <w:gridCol w:w="1867"/>
        <w:gridCol w:w="728"/>
        <w:gridCol w:w="1037"/>
        <w:gridCol w:w="1080"/>
        <w:gridCol w:w="964"/>
        <w:gridCol w:w="964"/>
        <w:gridCol w:w="964"/>
        <w:gridCol w:w="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建、安工程费</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植物措施费</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独立费用</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合计</w:t>
            </w:r>
            <w:r>
              <w:rPr>
                <w:rFonts w:hint="eastAsia" w:ascii="仿宋_GB2312" w:hAnsi="宋体" w:eastAsia="仿宋_GB2312" w:cs="仿宋_GB2312"/>
                <w:i w:val="0"/>
                <w:color w:val="000000"/>
                <w:kern w:val="0"/>
                <w:sz w:val="21"/>
                <w:szCs w:val="21"/>
                <w:u w:val="none"/>
                <w:lang w:val="en-US" w:eastAsia="zh-CN" w:bidi="ar"/>
              </w:rPr>
              <w:t>（万元）</w:t>
            </w:r>
          </w:p>
        </w:tc>
        <w:tc>
          <w:tcPr>
            <w:tcW w:w="19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 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w:t>
            </w:r>
            <w:r>
              <w:rPr>
                <w:rStyle w:val="205"/>
                <w:rFonts w:hAnsi="宋体"/>
                <w:lang w:val="en-US" w:eastAsia="zh-CN" w:bidi="ar"/>
              </w:rPr>
              <w:t>（种） 植费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苗木、草种子费</w:t>
            </w: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9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 工程措施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bCs/>
                <w:i w:val="0"/>
                <w:color w:val="000000"/>
                <w:kern w:val="0"/>
                <w:sz w:val="22"/>
                <w:szCs w:val="22"/>
                <w:u w:val="none"/>
                <w:lang w:val="en-US" w:eastAsia="zh-CN" w:bidi="ar"/>
              </w:rPr>
              <w:t>4.2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bCs/>
                <w:i w:val="0"/>
                <w:color w:val="000000"/>
                <w:kern w:val="0"/>
                <w:sz w:val="22"/>
                <w:szCs w:val="22"/>
                <w:u w:val="none"/>
                <w:lang w:val="en-US" w:eastAsia="zh-CN" w:bidi="ar"/>
              </w:rPr>
              <w:t>4.2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lang w:val="en-US"/>
              </w:rPr>
            </w:pPr>
            <w:r>
              <w:rPr>
                <w:rFonts w:hint="eastAsia" w:eastAsia="宋体" w:cs="Times New Roman"/>
                <w:b/>
                <w:bCs/>
                <w:i w:val="0"/>
                <w:color w:val="000000"/>
                <w:kern w:val="0"/>
                <w:sz w:val="22"/>
                <w:szCs w:val="22"/>
                <w:u w:val="none"/>
                <w:lang w:val="en-US" w:eastAsia="zh-CN" w:bidi="ar"/>
              </w:rPr>
              <w:t>4.2</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color w:val="000000"/>
                <w:sz w:val="21"/>
                <w:szCs w:val="21"/>
                <w:u w:val="none"/>
                <w:lang w:val="en-US" w:eastAsia="zh-CN"/>
              </w:rPr>
            </w:pPr>
            <w:r>
              <w:rPr>
                <w:rFonts w:hint="eastAsia" w:eastAsia="宋体" w:cs="Times New Roman"/>
                <w:b w:val="0"/>
                <w:bCs w:val="0"/>
                <w:i w:val="0"/>
                <w:color w:val="000000"/>
                <w:sz w:val="21"/>
                <w:szCs w:val="21"/>
                <w:u w:val="none"/>
                <w:lang w:val="en-US" w:eastAsia="zh-CN"/>
              </w:rPr>
              <w:t>4.2</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val="0"/>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b w:val="0"/>
                <w:bCs w:val="0"/>
                <w:i w:val="0"/>
                <w:color w:val="000000"/>
                <w:sz w:val="21"/>
                <w:szCs w:val="21"/>
                <w:u w:val="none"/>
                <w:lang w:val="en-US" w:eastAsia="zh-CN"/>
              </w:rPr>
              <w:t>4.2</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lang w:val="en-US"/>
              </w:rPr>
            </w:pPr>
            <w:r>
              <w:rPr>
                <w:rFonts w:hint="eastAsia" w:eastAsia="宋体" w:cs="Times New Roman"/>
                <w:b w:val="0"/>
                <w:bCs w:val="0"/>
                <w:i w:val="0"/>
                <w:color w:val="000000"/>
                <w:sz w:val="21"/>
                <w:szCs w:val="21"/>
                <w:u w:val="none"/>
                <w:lang w:val="en-US" w:eastAsia="zh-CN"/>
              </w:rPr>
              <w:t>4.2</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二</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0.68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0.68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sz w:val="21"/>
                <w:szCs w:val="21"/>
                <w:u w:val="none"/>
                <w:lang w:val="en-US" w:eastAsia="zh-CN"/>
              </w:rPr>
            </w:pPr>
            <w:r>
              <w:rPr>
                <w:rFonts w:hint="eastAsia" w:eastAsia="宋体" w:cs="Times New Roman"/>
                <w:b/>
                <w:bCs/>
                <w:i w:val="0"/>
                <w:color w:val="000000"/>
                <w:sz w:val="21"/>
                <w:szCs w:val="21"/>
                <w:u w:val="none"/>
                <w:lang w:val="en-US" w:eastAsia="zh-CN"/>
              </w:rPr>
              <w:t>0.2</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工业场地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0.58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sz w:val="21"/>
                <w:szCs w:val="21"/>
                <w:u w:val="none"/>
                <w:lang w:val="en-US" w:eastAsia="zh-CN"/>
              </w:rPr>
              <w:t>0.58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sz w:val="21"/>
                <w:szCs w:val="21"/>
                <w:u w:val="none"/>
                <w:lang w:val="en-US" w:eastAsia="zh-CN"/>
              </w:rPr>
            </w:pPr>
            <w:r>
              <w:rPr>
                <w:rFonts w:hint="eastAsia" w:eastAsia="宋体" w:cs="Times New Roman"/>
                <w:b/>
                <w:bCs/>
                <w:i w:val="0"/>
                <w:color w:val="000000"/>
                <w:sz w:val="21"/>
                <w:szCs w:val="21"/>
                <w:u w:val="none"/>
                <w:lang w:val="en-US" w:eastAsia="zh-CN"/>
              </w:rPr>
              <w:t>0.1</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sz w:val="21"/>
                <w:szCs w:val="21"/>
                <w:u w:val="none"/>
                <w:lang w:val="en-US" w:eastAsia="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b w:val="0"/>
                <w:bCs/>
                <w:i w:val="0"/>
                <w:color w:val="000000"/>
                <w:kern w:val="0"/>
                <w:sz w:val="21"/>
                <w:szCs w:val="21"/>
                <w:u w:val="none"/>
                <w:lang w:val="en-US" w:eastAsia="zh-CN" w:bidi="ar"/>
              </w:rPr>
              <w:t>办公生活防治区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color w:val="000000"/>
                <w:sz w:val="21"/>
                <w:szCs w:val="21"/>
                <w:u w:val="none"/>
                <w:lang w:val="en-US" w:eastAsia="zh-CN"/>
              </w:rPr>
            </w:pPr>
            <w:r>
              <w:rPr>
                <w:rFonts w:hint="eastAsia" w:eastAsia="宋体" w:cs="Times New Roman"/>
                <w:b/>
                <w:bCs/>
                <w:i w:val="0"/>
                <w:color w:val="000000"/>
                <w:sz w:val="21"/>
                <w:szCs w:val="21"/>
                <w:u w:val="none"/>
                <w:lang w:val="en-US" w:eastAsia="zh-CN"/>
              </w:rPr>
              <w:t>0.1</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四</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第四部分 独立费用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sz w:val="21"/>
                <w:szCs w:val="21"/>
                <w:u w:val="none"/>
                <w:lang w:val="en-US" w:eastAsia="zh-CN"/>
              </w:rPr>
              <w:t>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sz w:val="21"/>
                <w:szCs w:val="21"/>
                <w:u w:val="none"/>
                <w:lang w:val="en-US" w:eastAsia="zh-CN"/>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建设管理费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w:t>
            </w:r>
            <w:r>
              <w:rPr>
                <w:rFonts w:hint="default" w:ascii="Times New Roman" w:hAnsi="Times New Roman" w:eastAsia="宋体" w:cs="Times New Roman"/>
                <w:i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勘察设计费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一至</w:t>
            </w:r>
            <w:r>
              <w:rPr>
                <w:rFonts w:hint="eastAsia" w:ascii="仿宋_GB2312" w:hAnsi="宋体" w:eastAsia="仿宋_GB2312" w:cs="仿宋_GB2312"/>
                <w:b/>
                <w:i w:val="0"/>
                <w:color w:val="000000"/>
                <w:kern w:val="0"/>
                <w:sz w:val="21"/>
                <w:szCs w:val="21"/>
                <w:u w:val="none"/>
                <w:lang w:val="en-US" w:eastAsia="zh-CN" w:bidi="ar"/>
              </w:rPr>
              <w:t>四</w:t>
            </w:r>
            <w:r>
              <w:rPr>
                <w:rFonts w:hint="default" w:ascii="仿宋_GB2312" w:hAnsi="宋体" w:eastAsia="仿宋_GB2312" w:cs="仿宋_GB2312"/>
                <w:b/>
                <w:i w:val="0"/>
                <w:color w:val="000000"/>
                <w:kern w:val="0"/>
                <w:sz w:val="21"/>
                <w:szCs w:val="21"/>
                <w:u w:val="none"/>
                <w:lang w:val="en-US" w:eastAsia="zh-CN" w:bidi="ar"/>
              </w:rPr>
              <w:t>部分合计</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4.2</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0.68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sz w:val="21"/>
                <w:szCs w:val="21"/>
                <w:u w:val="none"/>
                <w:lang w:val="en-US" w:eastAsia="zh-CN"/>
              </w:rPr>
              <w:t>0.1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4.98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4.4</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五</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预备费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0.15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基本预备费（</w:t>
            </w:r>
            <w:r>
              <w:rPr>
                <w:rFonts w:hint="default" w:ascii="Times New Roman" w:hAnsi="Times New Roman" w:eastAsia="仿宋_GB2312" w:cs="Times New Roman"/>
                <w:i w:val="0"/>
                <w:color w:val="000000"/>
                <w:kern w:val="0"/>
                <w:sz w:val="21"/>
                <w:szCs w:val="21"/>
                <w:u w:val="none"/>
                <w:lang w:val="en-US" w:eastAsia="zh-CN" w:bidi="ar"/>
              </w:rPr>
              <w:t>3%</w:t>
            </w:r>
            <w:r>
              <w:rPr>
                <w:rStyle w:val="205"/>
                <w:rFonts w:hAnsi="宋体"/>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eastAsia="zh-CN"/>
              </w:rPr>
            </w:pPr>
            <w:r>
              <w:rPr>
                <w:rFonts w:hint="eastAsia" w:eastAsia="宋体" w:cs="Times New Roman"/>
                <w:i w:val="0"/>
                <w:color w:val="000000"/>
                <w:sz w:val="21"/>
                <w:szCs w:val="21"/>
                <w:u w:val="none"/>
                <w:lang w:val="en-US" w:eastAsia="zh-CN"/>
              </w:rPr>
              <w:t>0.15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sz w:val="21"/>
                <w:szCs w:val="21"/>
                <w:u w:val="none"/>
                <w:lang w:val="en-US" w:eastAsia="zh-CN"/>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eastAsia" w:ascii="仿宋_GB2312" w:hAnsi="宋体" w:eastAsia="仿宋_GB2312" w:cs="仿宋_GB2312"/>
                <w:b/>
                <w:i w:val="0"/>
                <w:color w:val="000000"/>
                <w:kern w:val="0"/>
                <w:sz w:val="21"/>
                <w:szCs w:val="21"/>
                <w:u w:val="none"/>
                <w:lang w:val="en-US" w:eastAsia="zh-CN" w:bidi="ar"/>
              </w:rPr>
              <w:t>六</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kern w:val="2"/>
                <w:sz w:val="21"/>
                <w:szCs w:val="21"/>
                <w:u w:val="none"/>
                <w:lang w:val="en-US" w:eastAsia="zh-CN" w:bidi="ar-SA"/>
              </w:rPr>
            </w:pPr>
            <w:r>
              <w:rPr>
                <w:rFonts w:hint="default" w:ascii="仿宋_GB2312" w:hAnsi="宋体" w:eastAsia="仿宋_GB2312" w:cs="仿宋_GB2312"/>
                <w:b/>
                <w:i w:val="0"/>
                <w:color w:val="000000"/>
                <w:kern w:val="0"/>
                <w:sz w:val="21"/>
                <w:szCs w:val="21"/>
                <w:u w:val="none"/>
                <w:lang w:val="en-US" w:eastAsia="zh-CN" w:bidi="ar"/>
              </w:rPr>
              <w:t>水土保持补偿费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2"/>
                <w:sz w:val="21"/>
                <w:szCs w:val="21"/>
                <w:u w:val="none"/>
                <w:lang w:val="en-US" w:eastAsia="zh-CN" w:bidi="ar-SA"/>
              </w:rPr>
            </w:pPr>
            <w:r>
              <w:rPr>
                <w:rFonts w:hint="eastAsia" w:eastAsia="宋体" w:cs="Times New Roman"/>
                <w:b/>
                <w:i w:val="0"/>
                <w:color w:val="000000"/>
                <w:kern w:val="0"/>
                <w:sz w:val="21"/>
                <w:szCs w:val="21"/>
                <w:u w:val="none"/>
                <w:lang w:val="en-US" w:eastAsia="zh-CN" w:bidi="ar"/>
              </w:rPr>
              <w:t>0.688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2"/>
                <w:sz w:val="20"/>
                <w:szCs w:val="20"/>
                <w:u w:val="none"/>
                <w:lang w:val="en-US" w:eastAsia="zh-CN" w:bidi="ar-SA"/>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2"/>
                <w:sz w:val="21"/>
                <w:szCs w:val="21"/>
                <w:u w:val="none"/>
                <w:lang w:val="en-US" w:eastAsia="zh-CN" w:bidi="ar-SA"/>
              </w:rPr>
            </w:pPr>
            <w:r>
              <w:rPr>
                <w:rFonts w:hint="eastAsia" w:eastAsia="宋体" w:cs="Times New Roman"/>
                <w:b/>
                <w:i w:val="0"/>
                <w:color w:val="000000"/>
                <w:kern w:val="0"/>
                <w:sz w:val="21"/>
                <w:szCs w:val="21"/>
                <w:u w:val="none"/>
                <w:lang w:val="en-US" w:eastAsia="zh-CN" w:bidi="ar"/>
              </w:rPr>
              <w:t>0.688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工程总投资</w:t>
            </w:r>
          </w:p>
        </w:tc>
        <w:tc>
          <w:tcPr>
            <w:tcW w:w="17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5.818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4.4</w:t>
            </w: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1.418</w:t>
            </w:r>
          </w:p>
        </w:tc>
      </w:tr>
    </w:tbl>
    <w:p>
      <w:pPr>
        <w:pStyle w:val="43"/>
        <w:ind w:firstLine="480"/>
        <w:rPr>
          <w:rFonts w:hint="eastAsia"/>
          <w:snapToGrid w:val="0"/>
          <w:kern w:val="0"/>
        </w:rPr>
      </w:pPr>
    </w:p>
    <w:p>
      <w:pPr>
        <w:rPr>
          <w:rFonts w:ascii="Times New Roman" w:hAnsi="Times New Roman" w:eastAsia="仿宋_GB2312"/>
          <w:b/>
          <w:sz w:val="24"/>
        </w:rPr>
      </w:pPr>
      <w:r>
        <w:rPr>
          <w:rFonts w:ascii="Times New Roman" w:hAnsi="Times New Roman" w:eastAsia="仿宋_GB2312"/>
          <w:b/>
          <w:sz w:val="24"/>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-2  水土保持工程措施概算表          单位：万元</w:t>
      </w:r>
    </w:p>
    <w:tbl>
      <w:tblPr>
        <w:tblStyle w:val="24"/>
        <w:tblW w:w="8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17"/>
        <w:gridCol w:w="1832"/>
        <w:gridCol w:w="707"/>
        <w:gridCol w:w="1212"/>
        <w:gridCol w:w="1053"/>
        <w:gridCol w:w="1123"/>
        <w:gridCol w:w="1052"/>
        <w:gridCol w:w="1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6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3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0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2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1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3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0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2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244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1"/>
                <w:rFonts w:hAnsi="宋体"/>
                <w:lang w:val="en-US" w:eastAsia="zh-CN" w:bidi="ar"/>
              </w:rPr>
              <w:t xml:space="preserve"> 工程措施</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4.2</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bCs/>
                <w:i w:val="0"/>
                <w:color w:val="000000"/>
                <w:kern w:val="0"/>
                <w:sz w:val="22"/>
                <w:szCs w:val="22"/>
                <w:u w:val="none"/>
                <w:lang w:val="en-US" w:eastAsia="zh-CN" w:bidi="ar"/>
              </w:rPr>
              <w:t>4.2</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sz w:val="21"/>
                <w:szCs w:val="21"/>
                <w:u w:val="none"/>
                <w:lang w:eastAsia="zh-CN"/>
              </w:rPr>
              <w:t>工业场地</w:t>
            </w:r>
            <w:r>
              <w:rPr>
                <w:rFonts w:hint="default" w:ascii="仿宋_GB2312" w:hAnsi="宋体" w:eastAsia="仿宋_GB2312" w:cs="仿宋_GB2312"/>
                <w:b/>
                <w:i w:val="0"/>
                <w:color w:val="000000"/>
                <w:sz w:val="21"/>
                <w:szCs w:val="21"/>
                <w:u w:val="none"/>
              </w:rPr>
              <w:t>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2"/>
                <w:szCs w:val="22"/>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bCs/>
                <w:i w:val="0"/>
                <w:color w:val="000000"/>
                <w:kern w:val="0"/>
                <w:sz w:val="22"/>
                <w:szCs w:val="22"/>
                <w:u w:val="none"/>
                <w:lang w:val="en-US" w:eastAsia="zh-CN" w:bidi="ar"/>
              </w:rPr>
            </w:pPr>
            <w:r>
              <w:rPr>
                <w:rFonts w:hint="eastAsia" w:eastAsia="宋体" w:cs="Times New Roman"/>
                <w:b/>
                <w:bCs/>
                <w:i w:val="0"/>
                <w:color w:val="000000"/>
                <w:kern w:val="0"/>
                <w:sz w:val="22"/>
                <w:szCs w:val="22"/>
                <w:u w:val="none"/>
                <w:lang w:val="en-US" w:eastAsia="zh-CN" w:bidi="ar"/>
              </w:rPr>
              <w:t>4.2</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2"/>
                <w:szCs w:val="22"/>
                <w:u w:val="none"/>
                <w:lang w:val="en-US" w:eastAsia="zh-CN" w:bidi="ar"/>
              </w:rPr>
              <w:t>4.2</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雨水收集池</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仿宋_GB2312"/>
                <w:kern w:val="0"/>
                <w:szCs w:val="21"/>
                <w:lang w:val="en-US" w:eastAsia="zh-CN"/>
              </w:rPr>
            </w:pPr>
            <w:r>
              <w:rPr>
                <w:rFonts w:hint="eastAsia" w:eastAsia="仿宋_GB2312"/>
                <w:kern w:val="0"/>
                <w:szCs w:val="21"/>
                <w:lang w:val="en-US" w:eastAsia="zh-CN"/>
              </w:rPr>
              <w:t>座</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4.2</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4.2</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2"/>
                <w:szCs w:val="22"/>
                <w:u w:val="none"/>
                <w:lang w:val="en-US" w:eastAsia="zh-CN" w:bidi="ar"/>
              </w:rPr>
            </w:pPr>
          </w:p>
        </w:tc>
      </w:tr>
    </w:tbl>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-3  水土保持植物措施概算表         单位：万元</w:t>
      </w:r>
    </w:p>
    <w:tbl>
      <w:tblPr>
        <w:tblStyle w:val="24"/>
        <w:tblW w:w="9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7"/>
        <w:gridCol w:w="1868"/>
        <w:gridCol w:w="734"/>
        <w:gridCol w:w="1099"/>
        <w:gridCol w:w="1100"/>
        <w:gridCol w:w="1542"/>
        <w:gridCol w:w="110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3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09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1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54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3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9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54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9" w:hRule="atLeast"/>
          <w:jc w:val="center"/>
        </w:trPr>
        <w:tc>
          <w:tcPr>
            <w:tcW w:w="25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02"/>
                <w:rFonts w:hAnsi="宋体"/>
                <w:lang w:val="en-US" w:eastAsia="zh-CN" w:bidi="ar"/>
              </w:rPr>
              <w:t>植物措施</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0.68</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1"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b/>
                <w:i w:val="0"/>
                <w:color w:val="000000"/>
                <w:sz w:val="21"/>
                <w:szCs w:val="21"/>
                <w:u w:val="none"/>
                <w:lang w:eastAsia="zh-CN"/>
              </w:rPr>
              <w:t>一</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sz w:val="21"/>
                <w:szCs w:val="21"/>
                <w:u w:val="none"/>
                <w:lang w:eastAsia="zh-CN"/>
              </w:rPr>
              <w:t>工业场地</w:t>
            </w:r>
            <w:r>
              <w:rPr>
                <w:rFonts w:hint="default" w:ascii="仿宋_GB2312" w:hAnsi="宋体" w:eastAsia="仿宋_GB2312" w:cs="仿宋_GB2312"/>
                <w:b/>
                <w:i w:val="0"/>
                <w:color w:val="000000"/>
                <w:sz w:val="21"/>
                <w:szCs w:val="21"/>
                <w:u w:val="none"/>
              </w:rPr>
              <w:t>防治区</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0.58</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1"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lang w:val="en-US" w:eastAsia="zh-CN"/>
              </w:rPr>
            </w:pPr>
            <w:r>
              <w:rPr>
                <w:rFonts w:hint="eastAsia" w:ascii="仿宋_GB2312" w:hAnsi="宋体" w:eastAsia="仿宋_GB2312" w:cs="仿宋_GB2312"/>
                <w:b w:val="0"/>
                <w:bCs/>
                <w:i w:val="0"/>
                <w:color w:val="000000"/>
                <w:kern w:val="0"/>
                <w:sz w:val="21"/>
                <w:szCs w:val="21"/>
                <w:u w:val="none"/>
                <w:lang w:val="en-US" w:eastAsia="zh-CN" w:bidi="ar"/>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eastAsia" w:eastAsia="宋体" w:cs="Times New Roman"/>
                <w:i w:val="0"/>
                <w:color w:val="000000"/>
                <w:sz w:val="21"/>
                <w:szCs w:val="21"/>
                <w:u w:val="none"/>
                <w:lang w:val="en-US" w:eastAsia="zh-CN"/>
              </w:rPr>
              <w:t>0.01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sz w:val="21"/>
                <w:szCs w:val="21"/>
                <w:u w:val="none"/>
                <w:lang w:val="en-US" w:eastAsia="zh-CN"/>
              </w:rPr>
            </w:pPr>
            <w:r>
              <w:rPr>
                <w:rFonts w:hint="eastAsia" w:eastAsia="宋体" w:cs="Times New Roman"/>
                <w:i w:val="0"/>
                <w:color w:val="000000"/>
                <w:sz w:val="22"/>
                <w:szCs w:val="22"/>
                <w:u w:val="none"/>
                <w:lang w:val="en-US" w:eastAsia="zh-CN"/>
              </w:rPr>
              <w:t>2</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2"/>
                <w:szCs w:val="22"/>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i w:val="0"/>
                <w:color w:val="000000"/>
                <w:sz w:val="21"/>
                <w:szCs w:val="21"/>
                <w:u w:val="none"/>
                <w:lang w:val="en-US" w:eastAsia="zh-CN"/>
              </w:rPr>
              <w:t>0.12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0.48</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2"/>
                <w:szCs w:val="22"/>
                <w:u w:val="none"/>
                <w:lang w:val="en-US" w:eastAsia="zh-CN"/>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栽植</w:t>
            </w:r>
            <w:r>
              <w:rPr>
                <w:rFonts w:hint="eastAsia" w:ascii="仿宋_GB2312" w:hAnsi="宋体" w:eastAsia="仿宋_GB2312" w:cs="仿宋_GB2312"/>
                <w:i w:val="0"/>
                <w:color w:val="000000"/>
                <w:kern w:val="0"/>
                <w:sz w:val="21"/>
                <w:szCs w:val="21"/>
                <w:u w:val="none"/>
                <w:lang w:val="en-US" w:eastAsia="zh-CN" w:bidi="ar"/>
              </w:rPr>
              <w:t>油松</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1"/>
                <w:szCs w:val="21"/>
                <w:u w:val="none"/>
                <w:lang w:val="en-US" w:eastAsia="zh-CN"/>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穴状整地（3</w:t>
            </w:r>
            <w:r>
              <w:rPr>
                <w:rStyle w:val="199"/>
                <w:rFonts w:eastAsia="仿宋_GB2312"/>
                <w:lang w:val="en-US" w:eastAsia="zh-CN" w:bidi="ar"/>
              </w:rPr>
              <w:t>0×</w:t>
            </w:r>
            <w:r>
              <w:rPr>
                <w:rStyle w:val="200"/>
                <w:rFonts w:hAnsi="宋体"/>
                <w:lang w:val="en-US" w:eastAsia="zh-CN" w:bidi="ar"/>
              </w:rPr>
              <w:t>3</w:t>
            </w:r>
            <w:r>
              <w:rPr>
                <w:rStyle w:val="199"/>
                <w:rFonts w:eastAsia="仿宋_GB2312"/>
                <w:lang w:val="en-US" w:eastAsia="zh-CN" w:bidi="ar"/>
              </w:rPr>
              <w:t>0</w:t>
            </w:r>
            <w:r>
              <w:rPr>
                <w:rStyle w:val="200"/>
                <w:rFonts w:hAnsi="宋体"/>
                <w:lang w:val="en-US" w:eastAsia="zh-CN" w:bidi="ar"/>
              </w:rPr>
              <w:t>）</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206</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lang w:val="en-US"/>
              </w:rPr>
            </w:pPr>
            <w:r>
              <w:rPr>
                <w:rFonts w:hint="eastAsia" w:eastAsia="宋体" w:cs="Times New Roman"/>
                <w:b w:val="0"/>
                <w:bCs/>
                <w:i w:val="0"/>
                <w:color w:val="000000"/>
                <w:sz w:val="20"/>
                <w:szCs w:val="20"/>
                <w:u w:val="none"/>
                <w:lang w:val="en-US" w:eastAsia="zh-CN"/>
              </w:rPr>
              <w:t>3.28</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0.07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栽植苗数</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206</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b w:val="0"/>
                <w:bCs/>
                <w:i w:val="0"/>
                <w:color w:val="000000"/>
                <w:sz w:val="20"/>
                <w:szCs w:val="20"/>
                <w:u w:val="none"/>
                <w:lang w:val="en-US" w:eastAsia="zh-CN"/>
              </w:rPr>
              <w:t>4.5</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0.09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0.09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i w:val="0"/>
                <w:color w:val="000000"/>
                <w:sz w:val="22"/>
                <w:szCs w:val="22"/>
                <w:u w:val="none"/>
                <w:lang w:val="en-US" w:eastAsia="zh-CN"/>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需苗量</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sz w:val="21"/>
                <w:szCs w:val="21"/>
                <w:u w:val="none"/>
                <w:lang w:val="en-US" w:eastAsia="zh-CN"/>
              </w:rPr>
            </w:pPr>
            <w:r>
              <w:rPr>
                <w:rFonts w:hint="eastAsia" w:eastAsia="宋体" w:cs="Times New Roman"/>
                <w:i w:val="0"/>
                <w:color w:val="000000"/>
                <w:kern w:val="0"/>
                <w:sz w:val="21"/>
                <w:szCs w:val="21"/>
                <w:u w:val="none"/>
                <w:lang w:val="en-US" w:eastAsia="zh-CN" w:bidi="ar"/>
              </w:rPr>
              <w:t>211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val="0"/>
                <w:bCs/>
                <w:i w:val="0"/>
                <w:color w:val="000000"/>
                <w:sz w:val="20"/>
                <w:szCs w:val="20"/>
                <w:u w:val="none"/>
                <w:lang w:val="en-US" w:eastAsia="zh-CN"/>
              </w:rPr>
            </w:pPr>
            <w:r>
              <w:rPr>
                <w:rFonts w:hint="eastAsia" w:eastAsia="宋体" w:cs="Times New Roman"/>
                <w:b w:val="0"/>
                <w:bCs/>
                <w:i w:val="0"/>
                <w:color w:val="000000"/>
                <w:sz w:val="20"/>
                <w:szCs w:val="20"/>
                <w:u w:val="none"/>
                <w:lang w:val="en-US" w:eastAsia="zh-CN"/>
              </w:rPr>
              <w:t>15</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0.32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 xml:space="preserve">0.32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2"/>
                <w:szCs w:val="22"/>
                <w:u w:val="none"/>
                <w:lang w:val="en-US" w:eastAsia="zh-CN"/>
              </w:rPr>
            </w:pPr>
            <w:r>
              <w:rPr>
                <w:rFonts w:hint="eastAsia" w:ascii="仿宋_GB2312" w:hAnsi="宋体" w:eastAsia="仿宋_GB2312" w:cs="仿宋_GB2312"/>
                <w:b/>
                <w:i w:val="0"/>
                <w:color w:val="000000"/>
                <w:kern w:val="0"/>
                <w:sz w:val="21"/>
                <w:szCs w:val="21"/>
                <w:u w:val="none"/>
                <w:lang w:val="en-US" w:eastAsia="zh-CN" w:bidi="ar"/>
              </w:rPr>
              <w:t>二</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b/>
                <w:i w:val="0"/>
                <w:color w:val="000000"/>
                <w:kern w:val="0"/>
                <w:sz w:val="21"/>
                <w:szCs w:val="21"/>
                <w:u w:val="none"/>
                <w:lang w:val="en-US" w:eastAsia="zh-CN" w:bidi="ar"/>
              </w:rPr>
              <w:t>办公生活</w:t>
            </w:r>
            <w:r>
              <w:rPr>
                <w:rFonts w:hint="default" w:ascii="仿宋_GB2312" w:hAnsi="宋体" w:eastAsia="仿宋_GB2312" w:cs="仿宋_GB2312"/>
                <w:b/>
                <w:i w:val="0"/>
                <w:color w:val="000000"/>
                <w:kern w:val="0"/>
                <w:sz w:val="21"/>
                <w:szCs w:val="21"/>
                <w:u w:val="none"/>
                <w:lang w:val="en-US" w:eastAsia="zh-CN" w:bidi="ar"/>
              </w:rPr>
              <w:t>防治区</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b w:val="0"/>
                <w:bCs/>
                <w:i w:val="0"/>
                <w:color w:val="000000"/>
                <w:sz w:val="20"/>
                <w:szCs w:val="20"/>
                <w:u w:val="none"/>
                <w:lang w:val="en-US" w:eastAsia="zh-CN"/>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sz w:val="22"/>
                <w:szCs w:val="22"/>
                <w:u w:val="none"/>
                <w:lang w:val="en-US" w:eastAsia="zh-CN"/>
              </w:rPr>
            </w:pPr>
            <w:r>
              <w:rPr>
                <w:rFonts w:hint="eastAsia" w:ascii="仿宋_GB2312" w:hAnsi="宋体" w:eastAsia="仿宋_GB2312" w:cs="仿宋_GB2312"/>
                <w:b/>
                <w:i w:val="0"/>
                <w:color w:val="000000"/>
                <w:kern w:val="0"/>
                <w:sz w:val="21"/>
                <w:szCs w:val="21"/>
                <w:u w:val="none"/>
                <w:lang w:val="en-US" w:eastAsia="zh-CN" w:bidi="ar"/>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绿化</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2"/>
                <w:szCs w:val="22"/>
                <w:u w:val="none"/>
                <w:lang w:val="en-US" w:eastAsia="zh-CN" w:bidi="ar"/>
              </w:rPr>
            </w:pPr>
            <w:r>
              <w:rPr>
                <w:rFonts w:hint="eastAsia" w:eastAsia="宋体" w:cs="Times New Roman"/>
                <w:i w:val="0"/>
                <w:color w:val="000000"/>
                <w:sz w:val="21"/>
                <w:szCs w:val="21"/>
                <w:u w:val="none"/>
                <w:lang w:val="en-US" w:eastAsia="zh-CN"/>
              </w:rPr>
              <w:t>0.01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eastAsia="宋体" w:cs="Times New Roman"/>
                <w:b w:val="0"/>
                <w:bCs/>
                <w:i w:val="0"/>
                <w:color w:val="000000"/>
                <w:sz w:val="20"/>
                <w:szCs w:val="20"/>
                <w:u w:val="none"/>
                <w:lang w:val="en-US" w:eastAsia="zh-CN"/>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r>
              <w:rPr>
                <w:rFonts w:hint="eastAsia" w:eastAsia="宋体" w:cs="Times New Roman"/>
                <w:b w:val="0"/>
                <w:bCs/>
                <w:i w:val="0"/>
                <w:color w:val="000000"/>
                <w:kern w:val="0"/>
                <w:sz w:val="21"/>
                <w:szCs w:val="21"/>
                <w:u w:val="none"/>
                <w:lang w:val="en-US" w:eastAsia="zh-CN" w:bidi="ar"/>
              </w:rPr>
              <w:t>0.1</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b w:val="0"/>
                <w:bCs/>
                <w:i w:val="0"/>
                <w:color w:val="000000"/>
                <w:kern w:val="0"/>
                <w:sz w:val="21"/>
                <w:szCs w:val="21"/>
                <w:u w:val="none"/>
                <w:lang w:val="en-US" w:eastAsia="zh-CN" w:bidi="ar"/>
              </w:rPr>
            </w:pPr>
          </w:p>
        </w:tc>
      </w:tr>
    </w:tbl>
    <w:p>
      <w:pPr>
        <w:spacing w:before="156" w:beforeLines="50"/>
        <w:jc w:val="right"/>
        <w:rPr>
          <w:rFonts w:ascii="Times New Roman" w:hAnsi="Times New Roman" w:eastAsia="仿宋_GB2312"/>
        </w:rPr>
      </w:pPr>
      <w:r>
        <w:rPr>
          <w:rFonts w:ascii="Times New Roman" w:hAnsi="Times New Roman" w:eastAsia="仿宋_GB2312"/>
          <w:b/>
          <w:sz w:val="24"/>
        </w:rPr>
        <w:t>表</w:t>
      </w:r>
      <w:r>
        <w:rPr>
          <w:rFonts w:hint="eastAsia" w:eastAsia="仿宋_GB2312"/>
          <w:b/>
          <w:sz w:val="24"/>
          <w:lang w:val="en-US" w:eastAsia="zh-CN"/>
        </w:rPr>
        <w:t>8</w:t>
      </w:r>
      <w:r>
        <w:rPr>
          <w:rFonts w:ascii="Times New Roman" w:hAnsi="Times New Roman" w:eastAsia="仿宋_GB2312"/>
          <w:b/>
          <w:sz w:val="24"/>
        </w:rPr>
        <w:t>-</w:t>
      </w:r>
      <w:r>
        <w:rPr>
          <w:rFonts w:hint="eastAsia" w:eastAsia="仿宋_GB2312"/>
          <w:b/>
          <w:sz w:val="24"/>
          <w:lang w:val="en-US" w:eastAsia="zh-CN"/>
        </w:rPr>
        <w:t>5</w:t>
      </w:r>
      <w:r>
        <w:rPr>
          <w:rFonts w:ascii="Times New Roman" w:hAnsi="Times New Roman" w:eastAsia="仿宋_GB2312"/>
          <w:b/>
          <w:sz w:val="24"/>
        </w:rPr>
        <w:t xml:space="preserve">  水土保持独立费用概算表</w:t>
      </w:r>
      <w:r>
        <w:rPr>
          <w:rFonts w:ascii="Times New Roman" w:hAnsi="Times New Roman" w:eastAsia="仿宋_GB2312"/>
        </w:rPr>
        <w:t xml:space="preserve">          单位：万元</w:t>
      </w:r>
    </w:p>
    <w:tbl>
      <w:tblPr>
        <w:tblStyle w:val="24"/>
        <w:tblW w:w="90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9"/>
        <w:gridCol w:w="1701"/>
        <w:gridCol w:w="5195"/>
        <w:gridCol w:w="13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center"/>
          </w:tcPr>
          <w:p>
            <w:pPr>
              <w:pStyle w:val="204"/>
              <w:spacing w:before="34"/>
              <w:ind w:left="158" w:right="15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序号</w:t>
            </w:r>
          </w:p>
        </w:tc>
        <w:tc>
          <w:tcPr>
            <w:tcW w:w="1701" w:type="dxa"/>
            <w:noWrap w:val="0"/>
            <w:vAlign w:val="center"/>
          </w:tcPr>
          <w:p>
            <w:pPr>
              <w:pStyle w:val="204"/>
              <w:spacing w:before="34"/>
              <w:ind w:left="94" w:right="86"/>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95" w:type="dxa"/>
            <w:noWrap w:val="0"/>
            <w:vAlign w:val="center"/>
          </w:tcPr>
          <w:p>
            <w:pPr>
              <w:pStyle w:val="204"/>
              <w:spacing w:before="34"/>
              <w:ind w:left="24"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计算公式</w:t>
            </w:r>
          </w:p>
        </w:tc>
        <w:tc>
          <w:tcPr>
            <w:tcW w:w="1330" w:type="dxa"/>
            <w:noWrap w:val="0"/>
            <w:vAlign w:val="center"/>
          </w:tcPr>
          <w:p>
            <w:pPr>
              <w:pStyle w:val="204"/>
              <w:spacing w:before="34"/>
              <w:ind w:left="86" w:right="5"/>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费用（万元）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80" w:type="dxa"/>
            <w:gridSpan w:val="2"/>
            <w:noWrap w:val="0"/>
            <w:vAlign w:val="center"/>
          </w:tcPr>
          <w:p>
            <w:pPr>
              <w:pStyle w:val="204"/>
              <w:spacing w:before="33"/>
              <w:ind w:left="35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第四部分 独立费用</w:t>
            </w:r>
          </w:p>
        </w:tc>
        <w:tc>
          <w:tcPr>
            <w:tcW w:w="5195" w:type="dxa"/>
            <w:noWrap w:val="0"/>
            <w:vAlign w:val="center"/>
          </w:tcPr>
          <w:p>
            <w:pPr>
              <w:pStyle w:val="204"/>
              <w:jc w:val="center"/>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center"/>
          </w:tcPr>
          <w:p>
            <w:pPr>
              <w:pStyle w:val="204"/>
              <w:spacing w:before="48"/>
              <w:ind w:left="12" w:right="5"/>
              <w:jc w:val="center"/>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center"/>
          </w:tcPr>
          <w:p>
            <w:pPr>
              <w:pStyle w:val="204"/>
              <w:spacing w:before="34"/>
              <w:ind w:left="21"/>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一</w:t>
            </w:r>
          </w:p>
        </w:tc>
        <w:tc>
          <w:tcPr>
            <w:tcW w:w="1701" w:type="dxa"/>
            <w:noWrap w:val="0"/>
            <w:vAlign w:val="center"/>
          </w:tcPr>
          <w:p>
            <w:pPr>
              <w:pStyle w:val="204"/>
              <w:spacing w:before="34"/>
              <w:ind w:left="94" w:right="86"/>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建设管理费</w:t>
            </w:r>
          </w:p>
        </w:tc>
        <w:tc>
          <w:tcPr>
            <w:tcW w:w="5195" w:type="dxa"/>
            <w:noWrap w:val="0"/>
            <w:vAlign w:val="center"/>
          </w:tcPr>
          <w:p>
            <w:pPr>
              <w:pStyle w:val="204"/>
              <w:spacing w:before="34"/>
              <w:ind w:left="25"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4.2</w:t>
            </w:r>
            <w:r>
              <w:rPr>
                <w:rFonts w:hint="eastAsia"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0.68</w:t>
            </w:r>
            <w:r>
              <w:rPr>
                <w:rFonts w:hint="default" w:ascii="仿宋_GB2312" w:hAnsi="宋体" w:eastAsia="仿宋_GB2312" w:cs="仿宋_GB2312"/>
                <w:i w:val="0"/>
                <w:color w:val="000000"/>
                <w:kern w:val="0"/>
                <w:sz w:val="21"/>
                <w:szCs w:val="21"/>
                <w:u w:val="none"/>
                <w:lang w:val="en-US" w:eastAsia="zh-CN" w:bidi="ar"/>
              </w:rPr>
              <w:t>）×2%</w:t>
            </w:r>
          </w:p>
        </w:tc>
        <w:tc>
          <w:tcPr>
            <w:tcW w:w="1330" w:type="dxa"/>
            <w:noWrap w:val="0"/>
            <w:vAlign w:val="center"/>
          </w:tcPr>
          <w:p>
            <w:pPr>
              <w:pStyle w:val="204"/>
              <w:spacing w:before="48"/>
              <w:ind w:left="10" w:right="5"/>
              <w:jc w:val="center"/>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center"/>
          </w:tcPr>
          <w:p>
            <w:pPr>
              <w:pStyle w:val="204"/>
              <w:spacing w:before="136"/>
              <w:ind w:left="21"/>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二</w:t>
            </w:r>
          </w:p>
        </w:tc>
        <w:tc>
          <w:tcPr>
            <w:tcW w:w="1701" w:type="dxa"/>
            <w:noWrap w:val="0"/>
            <w:vAlign w:val="center"/>
          </w:tcPr>
          <w:p>
            <w:pPr>
              <w:pStyle w:val="204"/>
              <w:spacing w:before="136"/>
              <w:ind w:left="94" w:right="86"/>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5195" w:type="dxa"/>
            <w:noWrap w:val="0"/>
            <w:vAlign w:val="center"/>
          </w:tcPr>
          <w:p>
            <w:pPr>
              <w:pStyle w:val="204"/>
              <w:spacing w:before="3" w:line="252" w:lineRule="exact"/>
              <w:ind w:left="25"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项目主体已建设完毕，监理费用不进行计算</w:t>
            </w:r>
          </w:p>
        </w:tc>
        <w:tc>
          <w:tcPr>
            <w:tcW w:w="1330" w:type="dxa"/>
            <w:noWrap w:val="0"/>
            <w:vAlign w:val="center"/>
          </w:tcPr>
          <w:p>
            <w:pPr>
              <w:pStyle w:val="204"/>
              <w:spacing w:before="150"/>
              <w:ind w:left="9" w:right="5"/>
              <w:jc w:val="center"/>
              <w:rPr>
                <w:rFonts w:hint="default" w:ascii="仿宋_GB2312" w:hAnsi="宋体" w:eastAsia="仿宋_GB2312" w:cs="仿宋_GB2312"/>
                <w:i w:val="0"/>
                <w:color w:val="000000"/>
                <w:kern w:val="0"/>
                <w:sz w:val="21"/>
                <w:szCs w:val="21"/>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center"/>
          </w:tcPr>
          <w:p>
            <w:pPr>
              <w:pStyle w:val="204"/>
              <w:spacing w:before="34"/>
              <w:ind w:left="21"/>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三</w:t>
            </w:r>
          </w:p>
        </w:tc>
        <w:tc>
          <w:tcPr>
            <w:tcW w:w="1701" w:type="dxa"/>
            <w:noWrap w:val="0"/>
            <w:vAlign w:val="center"/>
          </w:tcPr>
          <w:p>
            <w:pPr>
              <w:pStyle w:val="204"/>
              <w:spacing w:before="34"/>
              <w:ind w:left="94" w:right="86"/>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勘察设计费</w:t>
            </w:r>
          </w:p>
        </w:tc>
        <w:tc>
          <w:tcPr>
            <w:tcW w:w="5195" w:type="dxa"/>
            <w:noWrap w:val="0"/>
            <w:vAlign w:val="center"/>
          </w:tcPr>
          <w:p>
            <w:pPr>
              <w:pStyle w:val="204"/>
              <w:jc w:val="center"/>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（无需增设勘察设计费）</w:t>
            </w:r>
          </w:p>
        </w:tc>
        <w:tc>
          <w:tcPr>
            <w:tcW w:w="1330" w:type="dxa"/>
            <w:noWrap w:val="0"/>
            <w:vAlign w:val="center"/>
          </w:tcPr>
          <w:p>
            <w:pPr>
              <w:pStyle w:val="204"/>
              <w:spacing w:before="48"/>
              <w:ind w:left="9" w:right="5"/>
              <w:jc w:val="center"/>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center"/>
          </w:tcPr>
          <w:p>
            <w:pPr>
              <w:pStyle w:val="204"/>
              <w:spacing w:before="150"/>
              <w:ind w:left="14"/>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1</w:t>
            </w:r>
          </w:p>
        </w:tc>
        <w:tc>
          <w:tcPr>
            <w:tcW w:w="1701" w:type="dxa"/>
            <w:noWrap w:val="0"/>
            <w:vAlign w:val="center"/>
          </w:tcPr>
          <w:p>
            <w:pPr>
              <w:pStyle w:val="204"/>
              <w:spacing w:before="136"/>
              <w:ind w:left="94" w:right="86"/>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勘察费</w:t>
            </w:r>
          </w:p>
        </w:tc>
        <w:tc>
          <w:tcPr>
            <w:tcW w:w="5195" w:type="dxa"/>
            <w:noWrap w:val="0"/>
            <w:vAlign w:val="center"/>
          </w:tcPr>
          <w:p>
            <w:pPr>
              <w:pStyle w:val="204"/>
              <w:spacing w:before="3" w:line="252" w:lineRule="exact"/>
              <w:ind w:left="25" w:right="20"/>
              <w:jc w:val="center"/>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center"/>
          </w:tcPr>
          <w:p>
            <w:pPr>
              <w:pStyle w:val="204"/>
              <w:spacing w:before="150"/>
              <w:ind w:left="9" w:right="5"/>
              <w:jc w:val="center"/>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779" w:type="dxa"/>
            <w:noWrap w:val="0"/>
            <w:vAlign w:val="center"/>
          </w:tcPr>
          <w:p>
            <w:pPr>
              <w:pStyle w:val="204"/>
              <w:spacing w:before="150"/>
              <w:ind w:left="14"/>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2</w:t>
            </w:r>
          </w:p>
        </w:tc>
        <w:tc>
          <w:tcPr>
            <w:tcW w:w="1701" w:type="dxa"/>
            <w:noWrap w:val="0"/>
            <w:vAlign w:val="center"/>
          </w:tcPr>
          <w:p>
            <w:pPr>
              <w:pStyle w:val="204"/>
              <w:spacing w:before="136"/>
              <w:ind w:left="94" w:right="86"/>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设计费</w:t>
            </w:r>
          </w:p>
        </w:tc>
        <w:tc>
          <w:tcPr>
            <w:tcW w:w="5195" w:type="dxa"/>
            <w:noWrap w:val="0"/>
            <w:vAlign w:val="center"/>
          </w:tcPr>
          <w:p>
            <w:pPr>
              <w:pStyle w:val="204"/>
              <w:spacing w:before="3" w:line="252" w:lineRule="exact"/>
              <w:ind w:left="25" w:right="20"/>
              <w:jc w:val="center"/>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center"/>
          </w:tcPr>
          <w:p>
            <w:pPr>
              <w:pStyle w:val="204"/>
              <w:spacing w:before="150"/>
              <w:ind w:left="9" w:right="5"/>
              <w:jc w:val="center"/>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0</w:t>
            </w:r>
          </w:p>
        </w:tc>
      </w:tr>
    </w:tbl>
    <w:p>
      <w:pPr>
        <w:pStyle w:val="43"/>
        <w:adjustRightInd/>
        <w:snapToGrid/>
        <w:ind w:firstLine="480"/>
        <w:rPr>
          <w:rFonts w:hint="eastAsia"/>
          <w:bCs/>
          <w:lang w:val="en-US" w:eastAsia="zh-CN"/>
        </w:rPr>
      </w:pPr>
      <w:r>
        <w:rPr>
          <w:rFonts w:hint="eastAsia"/>
          <w:bCs/>
          <w:lang w:val="en-US" w:eastAsia="zh-CN"/>
        </w:rPr>
        <w:t>2、效益分析</w:t>
      </w:r>
    </w:p>
    <w:p>
      <w:pPr>
        <w:pStyle w:val="43"/>
        <w:adjustRightInd/>
        <w:snapToGrid/>
        <w:ind w:firstLine="480"/>
        <w:rPr>
          <w:rFonts w:hint="default"/>
          <w:bCs/>
          <w:lang w:val="en-US" w:eastAsia="zh-CN"/>
        </w:rPr>
      </w:pPr>
      <w:r>
        <w:rPr>
          <w:rFonts w:hint="default"/>
          <w:bCs/>
          <w:lang w:val="en-US" w:eastAsia="zh-CN"/>
        </w:rPr>
        <w:t>在工程施工建设期实施的水土保持工程措施及植物措施目的是控制工程建设造成的新增水土流失，防治扰动面的土壤大量流失，维护工程的安全运行，绿化、美化环境，恢复改善工程占地区因占压、挖损、扰动破坏的土地及植被资源，其效益主要体现在基础效益、生态效益和社会效益上。</w:t>
      </w:r>
    </w:p>
    <w:p>
      <w:pPr>
        <w:pStyle w:val="43"/>
        <w:adjustRightInd/>
        <w:snapToGrid/>
        <w:ind w:firstLine="480"/>
        <w:rPr>
          <w:rFonts w:hint="default"/>
          <w:bCs/>
          <w:lang w:val="en-US" w:eastAsia="zh-CN"/>
        </w:rPr>
      </w:pPr>
      <w:r>
        <w:rPr>
          <w:rFonts w:hint="default"/>
          <w:bCs/>
          <w:lang w:val="en-US" w:eastAsia="zh-CN"/>
        </w:rPr>
        <w:t>1</w:t>
      </w:r>
      <w:r>
        <w:rPr>
          <w:rFonts w:hint="eastAsia"/>
          <w:bCs/>
          <w:lang w:val="en-US" w:eastAsia="zh-CN"/>
        </w:rPr>
        <w:t>）</w:t>
      </w:r>
      <w:r>
        <w:rPr>
          <w:rFonts w:hint="default"/>
          <w:bCs/>
          <w:lang w:val="en-US" w:eastAsia="zh-CN"/>
        </w:rPr>
        <w:t>水土流失治理度</w:t>
      </w:r>
    </w:p>
    <w:p>
      <w:pPr>
        <w:pStyle w:val="43"/>
        <w:adjustRightInd/>
        <w:snapToGrid/>
        <w:ind w:firstLine="480"/>
        <w:rPr>
          <w:rFonts w:hint="default"/>
          <w:bCs/>
          <w:lang w:val="en-US" w:eastAsia="zh-CN"/>
        </w:rPr>
      </w:pPr>
      <w:r>
        <w:rPr>
          <w:rFonts w:hint="default"/>
          <w:bCs/>
          <w:lang w:val="en-US" w:eastAsia="zh-CN"/>
        </w:rPr>
        <w:t>水土流失总治理度（%）=水土保持措施面积/建设区水土流失总面积×100%</w:t>
      </w:r>
    </w:p>
    <w:p>
      <w:pPr>
        <w:pStyle w:val="43"/>
        <w:adjustRightInd/>
        <w:snapToGrid/>
        <w:ind w:firstLine="480"/>
        <w:rPr>
          <w:rFonts w:hint="default"/>
          <w:bCs/>
          <w:lang w:val="en-US" w:eastAsia="zh-CN"/>
        </w:rPr>
      </w:pPr>
      <w:r>
        <w:rPr>
          <w:rFonts w:hint="default"/>
          <w:bCs/>
          <w:lang w:val="en-US" w:eastAsia="zh-CN"/>
        </w:rPr>
        <w:t>根据建设期间采取的防治措施，本工程水土流失治理度达</w:t>
      </w:r>
      <w:r>
        <w:rPr>
          <w:rFonts w:hint="eastAsia"/>
          <w:bCs/>
          <w:lang w:val="en-US" w:eastAsia="zh-CN"/>
        </w:rPr>
        <w:t>98.83</w:t>
      </w:r>
      <w:r>
        <w:rPr>
          <w:rFonts w:hint="default"/>
          <w:bCs/>
          <w:lang w:val="en-US" w:eastAsia="zh-CN"/>
        </w:rPr>
        <w:t>%。</w:t>
      </w:r>
    </w:p>
    <w:p>
      <w:pPr>
        <w:snapToGrid w:val="0"/>
        <w:spacing w:before="156" w:beforeLines="50"/>
        <w:jc w:val="right"/>
        <w:rPr>
          <w:rFonts w:ascii="Times New Roman" w:hAnsi="Times New Roman" w:eastAsia="仿宋_GB2312"/>
          <w:b/>
          <w:sz w:val="24"/>
        </w:rPr>
      </w:pPr>
      <w:r>
        <w:rPr>
          <w:rFonts w:ascii="Times New Roman" w:hAnsi="Times New Roman" w:eastAsia="仿宋_GB2312"/>
          <w:b/>
          <w:bCs/>
          <w:sz w:val="24"/>
        </w:rPr>
        <w:t>表</w:t>
      </w:r>
      <w:r>
        <w:rPr>
          <w:rFonts w:hint="eastAsia" w:ascii="Times New Roman" w:hAnsi="Times New Roman" w:eastAsia="仿宋_GB2312"/>
          <w:b/>
          <w:bCs/>
          <w:sz w:val="24"/>
          <w:lang w:val="en-US" w:eastAsia="zh-CN"/>
        </w:rPr>
        <w:t>8-5</w:t>
      </w:r>
      <w:r>
        <w:rPr>
          <w:rFonts w:ascii="Times New Roman" w:hAnsi="Times New Roman" w:eastAsia="仿宋_GB2312"/>
          <w:b/>
          <w:bCs/>
          <w:sz w:val="24"/>
        </w:rPr>
        <w:t xml:space="preserve">  工程建设期水土保持措施防治总面积</w:t>
      </w:r>
      <w:r>
        <w:rPr>
          <w:rFonts w:ascii="Times New Roman" w:hAnsi="Times New Roman" w:eastAsia="仿宋_GB2312"/>
          <w:b/>
          <w:sz w:val="24"/>
        </w:rPr>
        <w:t xml:space="preserve">          单位：hm</w:t>
      </w:r>
      <w:r>
        <w:rPr>
          <w:rFonts w:ascii="Times New Roman" w:hAnsi="Times New Roman" w:eastAsia="仿宋_GB2312"/>
          <w:b/>
          <w:sz w:val="24"/>
          <w:vertAlign w:val="superscript"/>
        </w:rPr>
        <w:t>2</w:t>
      </w:r>
    </w:p>
    <w:tbl>
      <w:tblPr>
        <w:tblStyle w:val="2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2058"/>
        <w:gridCol w:w="1295"/>
        <w:gridCol w:w="1295"/>
        <w:gridCol w:w="1295"/>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序号</w:t>
            </w:r>
          </w:p>
        </w:tc>
        <w:tc>
          <w:tcPr>
            <w:tcW w:w="2058"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项目区</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扰动面积</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林草措施</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工程措施</w:t>
            </w:r>
          </w:p>
        </w:tc>
        <w:tc>
          <w:tcPr>
            <w:tcW w:w="1801"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建（构）筑物</w:t>
            </w:r>
          </w:p>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及铺装面积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ascii="Times New Roman" w:hAnsi="Times New Roman" w:eastAsia="仿宋_GB2312"/>
                <w:sz w:val="20"/>
                <w:szCs w:val="20"/>
              </w:rPr>
            </w:pPr>
            <w:r>
              <w:rPr>
                <w:rFonts w:ascii="Times New Roman" w:hAnsi="Times New Roman" w:eastAsia="仿宋_GB2312"/>
                <w:sz w:val="20"/>
                <w:szCs w:val="20"/>
              </w:rPr>
              <w:t>1</w:t>
            </w:r>
          </w:p>
        </w:tc>
        <w:tc>
          <w:tcPr>
            <w:tcW w:w="2058" w:type="dxa"/>
            <w:noWrap w:val="0"/>
            <w:vAlign w:val="center"/>
          </w:tcPr>
          <w:p>
            <w:pPr>
              <w:keepNext w:val="0"/>
              <w:keepLines w:val="0"/>
              <w:widowControl/>
              <w:suppressLineNumbers w:val="0"/>
              <w:jc w:val="center"/>
              <w:textAlignment w:val="center"/>
              <w:rPr>
                <w:rFonts w:hint="eastAsia" w:ascii="Times New Roman" w:hAnsi="Times New Roman"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工业场地</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i w:val="0"/>
                <w:color w:val="000000"/>
                <w:kern w:val="0"/>
                <w:sz w:val="21"/>
                <w:szCs w:val="21"/>
                <w:u w:val="none"/>
                <w:lang w:val="en-US" w:eastAsia="zh-CN" w:bidi="ar"/>
              </w:rPr>
              <w:t>1.51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0.13</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2</w:t>
            </w:r>
          </w:p>
        </w:tc>
        <w:tc>
          <w:tcPr>
            <w:tcW w:w="2058" w:type="dxa"/>
            <w:noWrap w:val="0"/>
            <w:vAlign w:val="center"/>
          </w:tcPr>
          <w:p>
            <w:pPr>
              <w:keepNext w:val="0"/>
              <w:keepLines w:val="0"/>
              <w:widowControl/>
              <w:suppressLineNumbers w:val="0"/>
              <w:jc w:val="center"/>
              <w:textAlignment w:val="center"/>
              <w:rPr>
                <w:rFonts w:hint="eastAsia"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办公生活区</w:t>
            </w:r>
          </w:p>
        </w:tc>
        <w:tc>
          <w:tcPr>
            <w:tcW w:w="1295" w:type="dxa"/>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default" w:eastAsia="宋体" w:cs="Times New Roman"/>
                <w:i w:val="0"/>
                <w:color w:val="000000"/>
                <w:kern w:val="0"/>
                <w:sz w:val="21"/>
                <w:szCs w:val="21"/>
                <w:u w:val="none"/>
                <w:lang w:val="en-US" w:eastAsia="zh-CN" w:bidi="ar"/>
              </w:rPr>
              <w:t>0.</w:t>
            </w:r>
            <w:r>
              <w:rPr>
                <w:rFonts w:hint="eastAsia" w:eastAsia="宋体" w:cs="Times New Roman"/>
                <w:i w:val="0"/>
                <w:color w:val="000000"/>
                <w:kern w:val="0"/>
                <w:sz w:val="21"/>
                <w:szCs w:val="21"/>
                <w:u w:val="none"/>
                <w:lang w:val="en-US" w:eastAsia="zh-CN" w:bidi="ar"/>
              </w:rPr>
              <w:t>2</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3</w:t>
            </w:r>
          </w:p>
        </w:tc>
        <w:tc>
          <w:tcPr>
            <w:tcW w:w="2058" w:type="dxa"/>
            <w:noWrap w:val="0"/>
            <w:vAlign w:val="center"/>
          </w:tcPr>
          <w:p>
            <w:pPr>
              <w:keepNext w:val="0"/>
              <w:keepLines w:val="0"/>
              <w:widowControl/>
              <w:suppressLineNumbers w:val="0"/>
              <w:jc w:val="center"/>
              <w:textAlignment w:val="center"/>
              <w:rPr>
                <w:rFonts w:hint="eastAsia" w:eastAsia="仿宋_GB2312"/>
                <w:sz w:val="20"/>
                <w:szCs w:val="20"/>
                <w:lang w:eastAsia="zh-CN"/>
              </w:rPr>
            </w:pPr>
            <w:r>
              <w:rPr>
                <w:rFonts w:hint="eastAsia" w:ascii="仿宋_GB2312" w:hAnsi="宋体" w:eastAsia="仿宋_GB2312" w:cs="仿宋_GB2312"/>
                <w:i w:val="0"/>
                <w:color w:val="000000"/>
                <w:kern w:val="0"/>
                <w:sz w:val="21"/>
                <w:szCs w:val="21"/>
                <w:u w:val="none"/>
                <w:lang w:val="en-US" w:eastAsia="zh-CN" w:bidi="ar"/>
              </w:rPr>
              <w:t>输电线路</w:t>
            </w:r>
          </w:p>
        </w:tc>
        <w:tc>
          <w:tcPr>
            <w:tcW w:w="1295" w:type="dxa"/>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0.01</w:t>
            </w:r>
          </w:p>
        </w:tc>
        <w:tc>
          <w:tcPr>
            <w:tcW w:w="1295"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c>
          <w:tcPr>
            <w:tcW w:w="1801" w:type="dxa"/>
            <w:noWrap w:val="0"/>
            <w:vAlign w:val="center"/>
          </w:tcPr>
          <w:p>
            <w:pPr>
              <w:jc w:val="center"/>
              <w:rPr>
                <w:rFonts w:hint="default" w:eastAsia="仿宋_GB2312"/>
                <w:sz w:val="20"/>
                <w:szCs w:val="20"/>
                <w:lang w:val="en-US" w:eastAsia="zh-CN"/>
              </w:rPr>
            </w:pPr>
            <w:r>
              <w:rPr>
                <w:rFonts w:hint="eastAsia" w:eastAsia="仿宋_GB2312"/>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784" w:type="dxa"/>
            <w:noWrap w:val="0"/>
            <w:vAlign w:val="center"/>
          </w:tcPr>
          <w:p>
            <w:pPr>
              <w:widowControl/>
              <w:spacing w:line="240" w:lineRule="exact"/>
              <w:jc w:val="center"/>
              <w:rPr>
                <w:rFonts w:ascii="Times New Roman" w:hAnsi="Times New Roman" w:eastAsia="仿宋_GB2312"/>
                <w:kern w:val="0"/>
                <w:sz w:val="20"/>
                <w:szCs w:val="20"/>
              </w:rPr>
            </w:pPr>
          </w:p>
        </w:tc>
        <w:tc>
          <w:tcPr>
            <w:tcW w:w="2058" w:type="dxa"/>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合计</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宋体" w:cs="Times New Roman"/>
                <w:b/>
                <w:i w:val="0"/>
                <w:color w:val="000000"/>
                <w:kern w:val="0"/>
                <w:sz w:val="21"/>
                <w:szCs w:val="21"/>
                <w:u w:val="none"/>
                <w:lang w:val="en-US" w:eastAsia="zh-CN" w:bidi="ar"/>
              </w:rPr>
              <w:t>1.72</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0.15</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水保措施面积</w:t>
            </w:r>
          </w:p>
        </w:tc>
        <w:tc>
          <w:tcPr>
            <w:tcW w:w="2590" w:type="dxa"/>
            <w:gridSpan w:val="2"/>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0.16</w:t>
            </w:r>
          </w:p>
        </w:tc>
        <w:tc>
          <w:tcPr>
            <w:tcW w:w="1801"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水土流失总治理度(%)</w:t>
            </w:r>
          </w:p>
        </w:tc>
        <w:tc>
          <w:tcPr>
            <w:tcW w:w="4391"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98.93</w:t>
            </w:r>
          </w:p>
        </w:tc>
      </w:tr>
    </w:tbl>
    <w:p>
      <w:pPr>
        <w:pStyle w:val="43"/>
        <w:adjustRightInd/>
        <w:snapToGrid/>
        <w:ind w:firstLine="480"/>
        <w:rPr>
          <w:rFonts w:hint="default"/>
          <w:bCs/>
          <w:lang w:val="en-US" w:eastAsia="zh-CN"/>
        </w:rPr>
      </w:pPr>
    </w:p>
    <w:p>
      <w:pPr>
        <w:pStyle w:val="43"/>
        <w:adjustRightInd/>
        <w:snapToGrid/>
        <w:ind w:firstLine="480"/>
        <w:rPr>
          <w:rFonts w:hint="default"/>
          <w:bCs/>
          <w:lang w:val="en-US" w:eastAsia="zh-CN"/>
        </w:rPr>
      </w:pPr>
      <w:r>
        <w:rPr>
          <w:rFonts w:hint="default"/>
          <w:bCs/>
          <w:lang w:val="en-US" w:eastAsia="zh-CN"/>
        </w:rPr>
        <w:t>2</w:t>
      </w:r>
      <w:r>
        <w:rPr>
          <w:rFonts w:hint="eastAsia"/>
          <w:bCs/>
          <w:lang w:val="en-US" w:eastAsia="zh-CN"/>
        </w:rPr>
        <w:t>）</w:t>
      </w:r>
      <w:r>
        <w:rPr>
          <w:rFonts w:hint="default"/>
          <w:bCs/>
          <w:lang w:val="en-US" w:eastAsia="zh-CN"/>
        </w:rPr>
        <w:t>土壤流失控制比</w:t>
      </w:r>
    </w:p>
    <w:p>
      <w:pPr>
        <w:pStyle w:val="43"/>
        <w:adjustRightInd/>
        <w:snapToGrid/>
        <w:ind w:firstLine="480"/>
        <w:rPr>
          <w:rFonts w:hint="default"/>
          <w:bCs/>
          <w:lang w:val="en-US" w:eastAsia="zh-CN"/>
        </w:rPr>
      </w:pPr>
      <w:r>
        <w:rPr>
          <w:rFonts w:hint="default"/>
          <w:bCs/>
          <w:lang w:val="en-US" w:eastAsia="zh-CN"/>
        </w:rPr>
        <w:t>项目区土壤容许流失量为1000t/km</w:t>
      </w:r>
      <w:r>
        <w:rPr>
          <w:rFonts w:hint="default"/>
          <w:bCs/>
          <w:vertAlign w:val="superscript"/>
          <w:lang w:val="en-US" w:eastAsia="zh-CN"/>
        </w:rPr>
        <w:t>2</w:t>
      </w:r>
      <w:r>
        <w:rPr>
          <w:rFonts w:hint="default"/>
          <w:bCs/>
          <w:lang w:val="en-US" w:eastAsia="zh-CN"/>
        </w:rPr>
        <w:t>•a。本工程在采取完善的水土保持措施以后，工程占地范围内的平均土壤流失量为</w:t>
      </w:r>
      <w:r>
        <w:rPr>
          <w:rFonts w:hint="eastAsia"/>
          <w:bCs/>
          <w:lang w:val="en-US" w:eastAsia="zh-CN"/>
        </w:rPr>
        <w:t>1000</w:t>
      </w:r>
      <w:r>
        <w:rPr>
          <w:rFonts w:hint="default"/>
          <w:bCs/>
          <w:lang w:val="en-US" w:eastAsia="zh-CN"/>
        </w:rPr>
        <w:t>t/km</w:t>
      </w:r>
      <w:r>
        <w:rPr>
          <w:rFonts w:hint="default"/>
          <w:bCs/>
          <w:vertAlign w:val="superscript"/>
          <w:lang w:val="en-US" w:eastAsia="zh-CN"/>
        </w:rPr>
        <w:t>2</w:t>
      </w:r>
      <w:r>
        <w:rPr>
          <w:rFonts w:hint="default"/>
          <w:bCs/>
          <w:lang w:val="en-US" w:eastAsia="zh-CN"/>
        </w:rPr>
        <w:t>•a，水土流失控制比为1.</w:t>
      </w:r>
      <w:r>
        <w:rPr>
          <w:rFonts w:hint="eastAsia"/>
          <w:bCs/>
          <w:lang w:val="en-US" w:eastAsia="zh-CN"/>
        </w:rPr>
        <w:t>0</w:t>
      </w:r>
      <w:r>
        <w:rPr>
          <w:rFonts w:hint="default"/>
          <w:bCs/>
          <w:lang w:val="en-US" w:eastAsia="zh-CN"/>
        </w:rPr>
        <w:t>。</w:t>
      </w:r>
    </w:p>
    <w:p>
      <w:pPr>
        <w:pStyle w:val="43"/>
        <w:adjustRightInd/>
        <w:snapToGrid/>
        <w:ind w:firstLine="480"/>
        <w:rPr>
          <w:rFonts w:hint="default"/>
          <w:bCs/>
          <w:lang w:val="en-US" w:eastAsia="zh-CN"/>
        </w:rPr>
      </w:pPr>
      <w:r>
        <w:rPr>
          <w:rFonts w:hint="default"/>
          <w:bCs/>
          <w:lang w:val="en-US" w:eastAsia="zh-CN"/>
        </w:rPr>
        <w:t>3</w:t>
      </w:r>
      <w:r>
        <w:rPr>
          <w:rFonts w:hint="eastAsia"/>
          <w:bCs/>
          <w:lang w:val="en-US" w:eastAsia="zh-CN"/>
        </w:rPr>
        <w:t>）</w:t>
      </w:r>
      <w:r>
        <w:rPr>
          <w:rFonts w:hint="default"/>
          <w:bCs/>
          <w:lang w:val="en-US" w:eastAsia="zh-CN"/>
        </w:rPr>
        <w:t>渣土防护率</w:t>
      </w:r>
    </w:p>
    <w:p>
      <w:pPr>
        <w:pStyle w:val="40"/>
        <w:ind w:firstLine="480"/>
        <w:rPr>
          <w:rFonts w:hint="default"/>
          <w:bCs/>
          <w:lang w:val="en-US" w:eastAsia="zh-CN"/>
        </w:rPr>
      </w:pPr>
      <w:r>
        <w:rPr>
          <w:rFonts w:hint="default"/>
          <w:bCs/>
          <w:lang w:val="en-US" w:eastAsia="zh-CN"/>
        </w:rPr>
        <w:t>根据建设单位提供资料，本项目建设期动用土石方量为</w:t>
      </w:r>
      <w:r>
        <w:rPr>
          <w:rFonts w:hint="eastAsia"/>
          <w:bCs/>
          <w:lang w:val="en-US" w:eastAsia="zh-CN"/>
        </w:rPr>
        <w:t>1.2</w:t>
      </w:r>
      <w:r>
        <w:rPr>
          <w:rFonts w:hint="default"/>
          <w:bCs/>
          <w:lang w:val="en-US" w:eastAsia="zh-CN"/>
        </w:rPr>
        <w:t>万m</w:t>
      </w:r>
      <w:r>
        <w:rPr>
          <w:rFonts w:hint="default"/>
          <w:bCs/>
          <w:vertAlign w:val="superscript"/>
          <w:lang w:val="en-US" w:eastAsia="zh-CN"/>
        </w:rPr>
        <w:t>3</w:t>
      </w:r>
      <w:r>
        <w:rPr>
          <w:rFonts w:hint="default"/>
          <w:bCs/>
          <w:lang w:val="en-US" w:eastAsia="zh-CN"/>
        </w:rPr>
        <w:t>，其中土方开挖</w:t>
      </w:r>
      <w:r>
        <w:rPr>
          <w:rFonts w:hint="eastAsia"/>
          <w:bCs/>
          <w:lang w:val="en-US" w:eastAsia="zh-CN"/>
        </w:rPr>
        <w:t>0.6</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，土方回填</w:t>
      </w:r>
      <w:r>
        <w:rPr>
          <w:rFonts w:hint="eastAsia"/>
          <w:bCs/>
          <w:lang w:val="en-US" w:eastAsia="zh-CN"/>
        </w:rPr>
        <w:t>0.6</w:t>
      </w:r>
      <w:r>
        <w:rPr>
          <w:rFonts w:hint="default"/>
          <w:bCs/>
          <w:lang w:val="en-US" w:eastAsia="zh-CN"/>
        </w:rPr>
        <w:t>万m</w:t>
      </w:r>
      <w:r>
        <w:rPr>
          <w:rFonts w:hint="default" w:ascii="Times New Roman" w:hAnsi="Times New Roman" w:cs="Times New Roman"/>
          <w:bCs/>
          <w:vertAlign w:val="superscript"/>
          <w:lang w:val="en-US" w:eastAsia="zh-CN"/>
        </w:rPr>
        <w:t>3</w:t>
      </w:r>
      <w:r>
        <w:rPr>
          <w:rFonts w:hint="default"/>
          <w:bCs/>
          <w:lang w:val="en-US" w:eastAsia="zh-CN"/>
        </w:rPr>
        <w:t>，无弃方。</w:t>
      </w:r>
      <w:r>
        <w:rPr>
          <w:rFonts w:hint="eastAsia"/>
          <w:bCs w:val="0"/>
          <w:snapToGrid w:val="0"/>
          <w:kern w:val="0"/>
          <w:lang w:eastAsia="zh-CN"/>
        </w:rPr>
        <w:t>项目生产过程产生的尾渣已于曲沃县诺航新型建材有限公司签订尾渣购销协议</w:t>
      </w:r>
      <w:r>
        <w:rPr>
          <w:rFonts w:hint="eastAsia"/>
          <w:bCs w:val="0"/>
          <w:snapToGrid w:val="0"/>
          <w:kern w:val="0"/>
        </w:rPr>
        <w:t>，</w:t>
      </w:r>
      <w:r>
        <w:rPr>
          <w:rFonts w:hint="eastAsia"/>
          <w:bCs w:val="0"/>
          <w:snapToGrid w:val="0"/>
          <w:kern w:val="0"/>
          <w:lang w:eastAsia="zh-CN"/>
        </w:rPr>
        <w:t>曲沃县诺航新型建材有限公司年产砖 6000 万块，能将企业生产过程中产生的尾渣全部综合利用</w:t>
      </w:r>
      <w:r>
        <w:rPr>
          <w:rFonts w:hint="eastAsia"/>
          <w:bCs w:val="0"/>
          <w:snapToGrid w:val="0"/>
          <w:kern w:val="0"/>
        </w:rPr>
        <w:t>。</w:t>
      </w:r>
      <w:r>
        <w:rPr>
          <w:rFonts w:hint="default"/>
          <w:bCs/>
          <w:lang w:val="en-US" w:eastAsia="zh-CN"/>
        </w:rPr>
        <w:t>因此，渣土防护率可达99%。</w:t>
      </w:r>
    </w:p>
    <w:p>
      <w:pPr>
        <w:pStyle w:val="43"/>
        <w:adjustRightInd/>
        <w:snapToGrid/>
        <w:ind w:firstLine="480"/>
        <w:rPr>
          <w:rFonts w:hint="default"/>
          <w:bCs/>
          <w:lang w:val="en-US" w:eastAsia="zh-CN"/>
        </w:rPr>
      </w:pPr>
      <w:r>
        <w:rPr>
          <w:rFonts w:hint="default"/>
          <w:bCs/>
          <w:lang w:val="en-US" w:eastAsia="zh-CN"/>
        </w:rPr>
        <w:t>4</w:t>
      </w:r>
      <w:r>
        <w:rPr>
          <w:rFonts w:hint="eastAsia"/>
          <w:bCs/>
          <w:lang w:val="en-US" w:eastAsia="zh-CN"/>
        </w:rPr>
        <w:t>）</w:t>
      </w:r>
      <w:r>
        <w:rPr>
          <w:rFonts w:hint="default"/>
          <w:bCs/>
          <w:lang w:val="en-US" w:eastAsia="zh-CN"/>
        </w:rPr>
        <w:t>表土防护率</w:t>
      </w:r>
    </w:p>
    <w:p>
      <w:pPr>
        <w:pStyle w:val="43"/>
        <w:adjustRightInd/>
        <w:snapToGrid/>
        <w:ind w:firstLine="480"/>
        <w:rPr>
          <w:rFonts w:hint="default"/>
          <w:bCs/>
          <w:lang w:val="en-US" w:eastAsia="zh-CN"/>
        </w:rPr>
      </w:pPr>
      <w:r>
        <w:rPr>
          <w:rFonts w:hint="eastAsia"/>
          <w:bCs/>
          <w:lang w:val="en-US" w:eastAsia="zh-CN"/>
        </w:rPr>
        <w:t>本项目主体已建设完毕为</w:t>
      </w:r>
      <w:r>
        <w:rPr>
          <w:rFonts w:hint="default"/>
          <w:bCs/>
          <w:lang w:val="en-US" w:eastAsia="zh-CN"/>
        </w:rPr>
        <w:t>补报项目</w:t>
      </w:r>
      <w:r>
        <w:rPr>
          <w:rFonts w:hint="eastAsia"/>
          <w:bCs/>
          <w:lang w:val="en-US" w:eastAsia="zh-CN"/>
        </w:rPr>
        <w:t>，</w:t>
      </w:r>
      <w:r>
        <w:rPr>
          <w:rFonts w:hint="default"/>
          <w:bCs/>
          <w:lang w:val="en-US" w:eastAsia="zh-CN"/>
        </w:rPr>
        <w:t>表土防护率指标</w:t>
      </w:r>
      <w:r>
        <w:rPr>
          <w:rFonts w:hint="eastAsia"/>
          <w:bCs/>
          <w:lang w:val="en-US" w:eastAsia="zh-CN"/>
        </w:rPr>
        <w:t>本方案不进行</w:t>
      </w:r>
      <w:r>
        <w:rPr>
          <w:rFonts w:hint="default"/>
          <w:bCs/>
          <w:lang w:val="en-US" w:eastAsia="zh-CN"/>
        </w:rPr>
        <w:t>评价。</w:t>
      </w:r>
    </w:p>
    <w:p>
      <w:pPr>
        <w:pStyle w:val="43"/>
        <w:adjustRightInd/>
        <w:snapToGrid/>
        <w:ind w:firstLine="480"/>
        <w:rPr>
          <w:rFonts w:hint="default"/>
          <w:bCs/>
          <w:lang w:val="en-US" w:eastAsia="zh-CN"/>
        </w:rPr>
      </w:pPr>
      <w:r>
        <w:rPr>
          <w:rFonts w:hint="default"/>
          <w:bCs/>
          <w:lang w:val="en-US" w:eastAsia="zh-CN"/>
        </w:rPr>
        <w:t>5</w:t>
      </w:r>
      <w:r>
        <w:rPr>
          <w:rFonts w:hint="eastAsia"/>
          <w:bCs/>
          <w:lang w:val="en-US" w:eastAsia="zh-CN"/>
        </w:rPr>
        <w:t>）</w:t>
      </w:r>
      <w:r>
        <w:rPr>
          <w:rFonts w:hint="default"/>
          <w:bCs/>
          <w:lang w:val="en-US" w:eastAsia="zh-CN"/>
        </w:rPr>
        <w:t>林草植被恢复率</w:t>
      </w:r>
    </w:p>
    <w:p>
      <w:pPr>
        <w:pStyle w:val="43"/>
        <w:adjustRightInd/>
        <w:snapToGrid/>
        <w:ind w:firstLine="480"/>
        <w:rPr>
          <w:rFonts w:hint="default"/>
          <w:bCs/>
          <w:lang w:val="en-US" w:eastAsia="zh-CN"/>
        </w:rPr>
      </w:pPr>
      <w:r>
        <w:rPr>
          <w:rFonts w:hint="default"/>
          <w:bCs/>
          <w:lang w:val="en-US" w:eastAsia="zh-CN"/>
        </w:rPr>
        <w:t>林草植被恢复率=林草植被面积/可恢复林草植被面积×100%</w:t>
      </w:r>
    </w:p>
    <w:p>
      <w:pPr>
        <w:pStyle w:val="43"/>
        <w:adjustRightInd/>
        <w:snapToGrid/>
        <w:ind w:firstLine="480"/>
        <w:rPr>
          <w:rFonts w:hint="default"/>
          <w:bCs/>
          <w:lang w:val="en-US" w:eastAsia="zh-CN"/>
        </w:rPr>
      </w:pPr>
      <w:r>
        <w:rPr>
          <w:rFonts w:hint="default"/>
          <w:bCs/>
          <w:lang w:val="en-US" w:eastAsia="zh-CN"/>
        </w:rPr>
        <w:t>工程建设结束后，本方案设计中对所有扰动的地表进行土地平整及恢复植被，针对可绿化的区域，除少部分难利用的土地以外全部采取植物措施进行绿化，本工程所采取的植物措施总面积为</w:t>
      </w:r>
      <w:r>
        <w:rPr>
          <w:rFonts w:hint="eastAsia"/>
          <w:bCs/>
          <w:lang w:val="en-US" w:eastAsia="zh-CN"/>
        </w:rPr>
        <w:t>0.155</w:t>
      </w:r>
      <w:r>
        <w:rPr>
          <w:rFonts w:hint="default"/>
          <w:bCs/>
          <w:lang w:val="en-US" w:eastAsia="zh-CN"/>
        </w:rPr>
        <w:t>hm</w:t>
      </w:r>
      <w:r>
        <w:rPr>
          <w:rFonts w:hint="default"/>
          <w:bCs/>
          <w:vertAlign w:val="superscript"/>
          <w:lang w:val="en-US" w:eastAsia="zh-CN"/>
        </w:rPr>
        <w:t>2</w:t>
      </w:r>
      <w:r>
        <w:rPr>
          <w:rFonts w:hint="default"/>
          <w:bCs/>
          <w:lang w:val="en-US" w:eastAsia="zh-CN"/>
        </w:rPr>
        <w:t>，可绿化面积为</w:t>
      </w:r>
      <w:r>
        <w:rPr>
          <w:rFonts w:hint="eastAsia"/>
          <w:bCs/>
          <w:lang w:val="en-US" w:eastAsia="zh-CN"/>
        </w:rPr>
        <w:t>0.15</w:t>
      </w:r>
      <w:r>
        <w:rPr>
          <w:rFonts w:hint="default"/>
          <w:bCs/>
          <w:lang w:val="en-US" w:eastAsia="zh-CN"/>
        </w:rPr>
        <w:t>m</w:t>
      </w:r>
      <w:r>
        <w:rPr>
          <w:rFonts w:hint="default"/>
          <w:bCs/>
          <w:vertAlign w:val="superscript"/>
          <w:lang w:val="en-US" w:eastAsia="zh-CN"/>
        </w:rPr>
        <w:t>2</w:t>
      </w:r>
      <w:r>
        <w:rPr>
          <w:rFonts w:hint="default"/>
          <w:bCs/>
          <w:lang w:val="en-US" w:eastAsia="zh-CN"/>
        </w:rPr>
        <w:t>，因此，林草植被恢复率将达到</w:t>
      </w:r>
      <w:r>
        <w:rPr>
          <w:rFonts w:hint="eastAsia"/>
          <w:bCs/>
          <w:lang w:val="en-US" w:eastAsia="zh-CN"/>
        </w:rPr>
        <w:t>96.77</w:t>
      </w:r>
      <w:r>
        <w:rPr>
          <w:rFonts w:hint="default"/>
          <w:bCs/>
          <w:lang w:val="en-US" w:eastAsia="zh-CN"/>
        </w:rPr>
        <w:t>%。</w:t>
      </w:r>
    </w:p>
    <w:p>
      <w:pPr>
        <w:pStyle w:val="43"/>
        <w:adjustRightInd/>
        <w:snapToGrid/>
        <w:ind w:firstLine="480"/>
        <w:rPr>
          <w:rFonts w:hint="default"/>
          <w:bCs/>
          <w:lang w:val="en-US" w:eastAsia="zh-CN"/>
        </w:rPr>
      </w:pPr>
      <w:r>
        <w:rPr>
          <w:rFonts w:hint="default"/>
          <w:bCs/>
          <w:lang w:val="en-US" w:eastAsia="zh-CN"/>
        </w:rPr>
        <w:t>6</w:t>
      </w:r>
      <w:r>
        <w:rPr>
          <w:rFonts w:hint="eastAsia"/>
          <w:bCs/>
          <w:lang w:val="en-US" w:eastAsia="zh-CN"/>
        </w:rPr>
        <w:t>）</w:t>
      </w:r>
      <w:r>
        <w:rPr>
          <w:rFonts w:hint="default"/>
          <w:bCs/>
          <w:lang w:val="en-US" w:eastAsia="zh-CN"/>
        </w:rPr>
        <w:t>林草覆盖率</w:t>
      </w:r>
    </w:p>
    <w:p>
      <w:pPr>
        <w:pStyle w:val="43"/>
        <w:adjustRightInd/>
        <w:snapToGrid/>
        <w:ind w:firstLine="480"/>
        <w:rPr>
          <w:rFonts w:hint="default"/>
          <w:bCs/>
          <w:lang w:val="en-US" w:eastAsia="zh-CN"/>
        </w:rPr>
      </w:pPr>
      <w:r>
        <w:rPr>
          <w:rFonts w:hint="default"/>
          <w:bCs/>
          <w:lang w:val="en-US" w:eastAsia="zh-CN"/>
        </w:rPr>
        <w:t>林草覆盖率=林草植被面积/项目建设区总面积×100%</w:t>
      </w:r>
    </w:p>
    <w:p>
      <w:pPr>
        <w:pStyle w:val="43"/>
        <w:adjustRightInd/>
        <w:snapToGrid/>
        <w:ind w:firstLine="480"/>
        <w:rPr>
          <w:rFonts w:hint="default"/>
          <w:bCs/>
          <w:lang w:val="en-US" w:eastAsia="zh-CN"/>
        </w:rPr>
      </w:pPr>
      <w:r>
        <w:rPr>
          <w:rFonts w:hint="default"/>
          <w:bCs/>
          <w:lang w:val="en-US" w:eastAsia="zh-CN"/>
        </w:rPr>
        <w:t>本工程占地面积</w:t>
      </w:r>
      <w:r>
        <w:rPr>
          <w:rFonts w:hint="eastAsia"/>
          <w:bCs/>
          <w:lang w:val="en-US" w:eastAsia="zh-CN"/>
        </w:rPr>
        <w:t>1.72</w:t>
      </w:r>
      <w:r>
        <w:rPr>
          <w:rFonts w:hint="default"/>
          <w:bCs/>
          <w:lang w:val="en-US" w:eastAsia="zh-CN"/>
        </w:rPr>
        <w:t>hm</w:t>
      </w:r>
      <w:r>
        <w:rPr>
          <w:rFonts w:hint="default"/>
          <w:bCs/>
          <w:vertAlign w:val="superscript"/>
          <w:lang w:val="en-US" w:eastAsia="zh-CN"/>
        </w:rPr>
        <w:t>2</w:t>
      </w:r>
      <w:r>
        <w:rPr>
          <w:rFonts w:hint="default"/>
          <w:bCs/>
          <w:lang w:val="en-US" w:eastAsia="zh-CN"/>
        </w:rPr>
        <w:t>，绿化面积</w:t>
      </w:r>
      <w:r>
        <w:rPr>
          <w:rFonts w:hint="eastAsia"/>
          <w:bCs/>
          <w:lang w:val="en-US" w:eastAsia="zh-CN"/>
        </w:rPr>
        <w:t>0.15</w:t>
      </w:r>
      <w:r>
        <w:rPr>
          <w:rFonts w:hint="default"/>
          <w:bCs/>
          <w:lang w:val="en-US" w:eastAsia="zh-CN"/>
        </w:rPr>
        <w:t>hm</w:t>
      </w:r>
      <w:r>
        <w:rPr>
          <w:rFonts w:hint="default"/>
          <w:bCs/>
          <w:vertAlign w:val="superscript"/>
          <w:lang w:val="en-US" w:eastAsia="zh-CN"/>
        </w:rPr>
        <w:t>2</w:t>
      </w:r>
      <w:r>
        <w:rPr>
          <w:rFonts w:hint="default"/>
          <w:bCs/>
          <w:lang w:val="en-US" w:eastAsia="zh-CN"/>
        </w:rPr>
        <w:t>，林草覆盖率达到</w:t>
      </w:r>
      <w:r>
        <w:rPr>
          <w:rFonts w:hint="eastAsia"/>
          <w:bCs/>
          <w:lang w:val="en-US" w:eastAsia="zh-CN"/>
        </w:rPr>
        <w:t>8.7</w:t>
      </w:r>
      <w:r>
        <w:rPr>
          <w:rFonts w:hint="default"/>
          <w:bCs/>
          <w:lang w:val="en-US" w:eastAsia="zh-CN"/>
        </w:rPr>
        <w:t>%。</w:t>
      </w:r>
    </w:p>
    <w:p>
      <w:pPr>
        <w:pStyle w:val="37"/>
        <w:rPr>
          <w:rFonts w:hint="eastAsia"/>
          <w:lang w:val="en-US" w:eastAsia="zh-CN"/>
        </w:rPr>
      </w:pPr>
      <w:bookmarkStart w:id="36" w:name="_Toc14365639"/>
      <w:bookmarkStart w:id="37" w:name="_Toc14945432"/>
      <w:r>
        <w:rPr>
          <w:rFonts w:hint="eastAsia"/>
          <w:lang w:val="en-US" w:eastAsia="zh-CN"/>
        </w:rPr>
        <w:t>9</w:t>
      </w:r>
      <w:r>
        <w:rPr>
          <w:b/>
          <w:kern w:val="0"/>
          <w:szCs w:val="30"/>
        </w:rPr>
        <w:t>水土保持管理</w:t>
      </w:r>
    </w:p>
    <w:p>
      <w:pPr>
        <w:pStyle w:val="37"/>
        <w:ind w:firstLine="480" w:firstLineChars="200"/>
        <w:outlineLvl w:val="9"/>
        <w:rPr>
          <w:rFonts w:hint="default" w:ascii="Times New Roman" w:hAnsi="Times New Roman" w:eastAsia="宋体" w:cs="Times New Roman"/>
          <w:b w:val="0"/>
          <w:bCs/>
          <w:kern w:val="2"/>
          <w:sz w:val="24"/>
          <w:szCs w:val="24"/>
          <w:lang w:val="en-US" w:eastAsia="zh-CN" w:bidi="ar-SA"/>
        </w:rPr>
      </w:pPr>
      <w:r>
        <w:rPr>
          <w:rFonts w:hint="eastAsia" w:eastAsia="宋体" w:cs="Times New Roman"/>
          <w:b w:val="0"/>
          <w:bCs/>
          <w:kern w:val="2"/>
          <w:sz w:val="24"/>
          <w:szCs w:val="24"/>
          <w:lang w:val="en-US" w:eastAsia="zh-CN" w:bidi="ar-SA"/>
        </w:rPr>
        <w:t>1、</w:t>
      </w:r>
      <w:r>
        <w:rPr>
          <w:rFonts w:hint="default" w:ascii="Times New Roman" w:hAnsi="Times New Roman" w:eastAsia="宋体" w:cs="Times New Roman"/>
          <w:b w:val="0"/>
          <w:bCs/>
          <w:kern w:val="2"/>
          <w:sz w:val="24"/>
          <w:szCs w:val="24"/>
          <w:lang w:val="en-US" w:eastAsia="zh-CN" w:bidi="ar-SA"/>
        </w:rPr>
        <w:t>水土保持施工</w:t>
      </w:r>
      <w:bookmarkEnd w:id="36"/>
      <w:bookmarkEnd w:id="37"/>
    </w:p>
    <w:p>
      <w:pPr>
        <w:pStyle w:val="43"/>
        <w:adjustRightInd/>
        <w:snapToGrid/>
        <w:ind w:firstLine="480"/>
        <w:rPr>
          <w:rFonts w:hint="default"/>
          <w:bCs/>
          <w:lang w:val="en-US" w:eastAsia="zh-CN"/>
        </w:rPr>
      </w:pPr>
      <w:r>
        <w:rPr>
          <w:rFonts w:hint="default"/>
          <w:bCs/>
          <w:lang w:val="en-US" w:eastAsia="zh-CN"/>
        </w:rPr>
        <w:t>水土保持工程实行工程招标投标制度。</w:t>
      </w:r>
    </w:p>
    <w:p>
      <w:pPr>
        <w:pStyle w:val="43"/>
        <w:adjustRightInd/>
        <w:snapToGrid/>
        <w:ind w:firstLine="480"/>
        <w:rPr>
          <w:rFonts w:hint="default"/>
          <w:bCs/>
          <w:lang w:val="en-US" w:eastAsia="zh-CN"/>
        </w:rPr>
      </w:pPr>
      <w:r>
        <w:rPr>
          <w:rFonts w:hint="default"/>
          <w:bCs/>
          <w:lang w:val="en-US" w:eastAsia="zh-CN"/>
        </w:rPr>
        <w:t>在后续工程发包标书中将各标段水土保持工程列入招标合同，以合同条款形式明确 承包商应承担的防治水土流失的范困、义务和惩罚措施。并在招标文件中要求投标单位标书中对水土保持责任应有响应。</w:t>
      </w:r>
    </w:p>
    <w:p>
      <w:pPr>
        <w:pStyle w:val="43"/>
        <w:adjustRightInd/>
        <w:snapToGrid/>
        <w:ind w:firstLine="480"/>
        <w:rPr>
          <w:rFonts w:hint="default"/>
          <w:bCs/>
          <w:lang w:val="en-US" w:eastAsia="zh-CN"/>
        </w:rPr>
      </w:pPr>
      <w:r>
        <w:rPr>
          <w:rFonts w:hint="default"/>
          <w:bCs/>
          <w:lang w:val="en-US" w:eastAsia="zh-CN"/>
        </w:rPr>
        <w:t>中标单位施工过程中应按照正式合同及批复的</w:t>
      </w:r>
      <w:r>
        <w:rPr>
          <w:rFonts w:hint="eastAsia"/>
          <w:bCs/>
          <w:lang w:val="en-US" w:eastAsia="zh-CN"/>
        </w:rPr>
        <w:t>报告要</w:t>
      </w:r>
      <w:r>
        <w:rPr>
          <w:rFonts w:hint="default"/>
          <w:bCs/>
          <w:lang w:val="en-US" w:eastAsia="zh-CN"/>
        </w:rPr>
        <w:t>求落实水土保持工程，保证水土保持工程效益的充分发挥。在施工过程中对设计内容如有变更，应按有关 规定实施变更备案程序。</w:t>
      </w:r>
    </w:p>
    <w:p>
      <w:pPr>
        <w:pStyle w:val="43"/>
        <w:adjustRightInd/>
        <w:snapToGrid/>
        <w:ind w:firstLine="480"/>
        <w:rPr>
          <w:rFonts w:hint="default"/>
          <w:bCs/>
          <w:lang w:val="en-US" w:eastAsia="zh-CN"/>
        </w:rPr>
      </w:pPr>
      <w:bookmarkStart w:id="38" w:name="_Toc14945433"/>
      <w:bookmarkStart w:id="39" w:name="_Toc207335833"/>
      <w:bookmarkStart w:id="40" w:name="_Toc241288288"/>
      <w:bookmarkStart w:id="41" w:name="_Toc14365640"/>
      <w:r>
        <w:rPr>
          <w:rFonts w:hint="eastAsia"/>
          <w:bCs/>
          <w:lang w:val="en-US" w:eastAsia="zh-CN"/>
        </w:rPr>
        <w:t>2、</w:t>
      </w:r>
      <w:r>
        <w:rPr>
          <w:rFonts w:hint="default"/>
          <w:bCs/>
          <w:lang w:val="en-US" w:eastAsia="zh-CN"/>
        </w:rPr>
        <w:t>水土保持设施验收</w:t>
      </w:r>
      <w:bookmarkEnd w:id="38"/>
      <w:bookmarkEnd w:id="39"/>
      <w:bookmarkEnd w:id="40"/>
      <w:bookmarkEnd w:id="41"/>
    </w:p>
    <w:p>
      <w:pPr>
        <w:pStyle w:val="43"/>
        <w:adjustRightInd/>
        <w:snapToGrid/>
        <w:ind w:firstLine="480"/>
        <w:rPr>
          <w:rFonts w:hint="default"/>
          <w:bCs/>
          <w:lang w:val="en-US" w:eastAsia="zh-CN"/>
        </w:rPr>
      </w:pPr>
      <w:r>
        <w:rPr>
          <w:rFonts w:hint="default"/>
          <w:bCs/>
          <w:lang w:val="en-US" w:eastAsia="zh-CN"/>
        </w:rPr>
        <w:t>2017年9月，《国务院关于取消一批行政许可事项的决定》（国发【2017】46号）取消了生产建设项目水土保持设施验收审批行政许可事项，转为生产建设单位按照有关要求自主开展水土保持设施验收。</w:t>
      </w:r>
      <w:r>
        <w:rPr>
          <w:rFonts w:hint="eastAsia"/>
          <w:bCs/>
          <w:lang w:val="en-US" w:eastAsia="zh-CN"/>
        </w:rPr>
        <w:t>水利部</w:t>
      </w:r>
      <w:r>
        <w:rPr>
          <w:rFonts w:hint="default"/>
          <w:bCs/>
          <w:lang w:val="en-US" w:eastAsia="zh-CN"/>
        </w:rPr>
        <w:t>对生产建设单位自主开展水土保持设施验收做了</w:t>
      </w:r>
      <w:r>
        <w:rPr>
          <w:rFonts w:hint="eastAsia"/>
          <w:bCs/>
          <w:lang w:val="en-US" w:eastAsia="zh-CN"/>
        </w:rPr>
        <w:t>如下</w:t>
      </w:r>
      <w:r>
        <w:rPr>
          <w:rFonts w:hint="default"/>
          <w:bCs/>
          <w:lang w:val="en-US" w:eastAsia="zh-CN"/>
        </w:rPr>
        <w:t>具体规定和要求：</w:t>
      </w:r>
    </w:p>
    <w:p>
      <w:pPr>
        <w:pStyle w:val="43"/>
        <w:adjustRightInd/>
        <w:snapToGrid/>
        <w:ind w:firstLine="480"/>
        <w:rPr>
          <w:rFonts w:hint="eastAsia"/>
          <w:bCs/>
          <w:lang w:val="en-US" w:eastAsia="zh-CN"/>
        </w:rPr>
      </w:pPr>
      <w:r>
        <w:rPr>
          <w:rFonts w:hint="eastAsia"/>
          <w:bCs/>
          <w:lang w:val="en-US" w:eastAsia="zh-CN"/>
        </w:rPr>
        <w:t>生产建设单位是生产建设项目水土保持设施验收的责任主体，应当在生产建设项目投产使用或者竣工验收前，自主开展水土保持设施验收，完成报备并取得报备回执。</w:t>
      </w:r>
    </w:p>
    <w:p>
      <w:pPr>
        <w:pStyle w:val="43"/>
        <w:adjustRightInd/>
        <w:snapToGrid/>
        <w:ind w:firstLine="480"/>
        <w:rPr>
          <w:rFonts w:hint="eastAsia"/>
          <w:bCs/>
          <w:lang w:val="en-US" w:eastAsia="zh-CN"/>
        </w:rPr>
      </w:pPr>
      <w:r>
        <w:rPr>
          <w:rFonts w:hint="eastAsia"/>
          <w:bCs/>
          <w:lang w:val="en-US" w:eastAsia="zh-CN"/>
        </w:rPr>
        <w:t>生产建设项目水土保持设施验收一般应当按照编制验收报告、组织竣工验收、公开验收情况、报备验收材料的程序开展。</w:t>
      </w:r>
    </w:p>
    <w:p>
      <w:pPr>
        <w:pStyle w:val="43"/>
        <w:adjustRightInd/>
        <w:snapToGrid/>
        <w:ind w:firstLine="480"/>
        <w:rPr>
          <w:rFonts w:hint="eastAsia"/>
          <w:bCs/>
          <w:lang w:val="en-US" w:eastAsia="zh-CN"/>
        </w:rPr>
      </w:pPr>
      <w:r>
        <w:rPr>
          <w:rFonts w:hint="eastAsia"/>
          <w:bCs/>
          <w:lang w:val="en-US" w:eastAsia="zh-CN"/>
        </w:rPr>
        <w:t>生产建设单位组织开展水土保持设施竣工验收时，验收组中应当有至少一名省级水行政主管部门水土保持方案专家库专家参加并签署意见，形成的水土保持设施验收鉴定书应当明确水土保持设施验收合格与否的结论。水土保持分部工程与单位工程验收按照有关规定开展。</w:t>
      </w:r>
    </w:p>
    <w:p>
      <w:pPr>
        <w:pStyle w:val="43"/>
        <w:adjustRightInd/>
        <w:snapToGrid/>
        <w:ind w:firstLine="480"/>
        <w:rPr>
          <w:rFonts w:hint="default"/>
          <w:bCs/>
          <w:lang w:val="en-US" w:eastAsia="zh-CN"/>
        </w:rPr>
      </w:pPr>
      <w:r>
        <w:rPr>
          <w:rFonts w:hint="default"/>
          <w:bCs/>
          <w:lang w:val="en-US" w:eastAsia="zh-CN"/>
        </w:rPr>
        <w:t>除按照国家规定需要保密的情形外，生产建设单位应当在水土保持设施验收合格后，</w:t>
      </w:r>
      <w:r>
        <w:rPr>
          <w:rFonts w:hint="eastAsia"/>
          <w:bCs/>
          <w:lang w:val="en-US" w:eastAsia="zh-CN"/>
        </w:rPr>
        <w:t>及时在其</w:t>
      </w:r>
      <w:r>
        <w:rPr>
          <w:rFonts w:hint="default"/>
          <w:bCs/>
          <w:lang w:val="en-US" w:eastAsia="zh-CN"/>
        </w:rPr>
        <w:t>官方网站或者其他公众知悉的</w:t>
      </w:r>
      <w:r>
        <w:rPr>
          <w:rFonts w:hint="eastAsia"/>
          <w:bCs/>
          <w:lang w:val="en-US" w:eastAsia="zh-CN"/>
        </w:rPr>
        <w:t>网站公示</w:t>
      </w:r>
      <w:r>
        <w:rPr>
          <w:rFonts w:hint="default"/>
          <w:bCs/>
          <w:lang w:val="en-US" w:eastAsia="zh-CN"/>
        </w:rPr>
        <w:t>水土保持设施验收材料，公示时间不得少于</w:t>
      </w:r>
      <w:r>
        <w:rPr>
          <w:rFonts w:hint="eastAsia"/>
          <w:bCs/>
          <w:lang w:val="en-US" w:eastAsia="zh-CN"/>
        </w:rPr>
        <w:t>2</w:t>
      </w:r>
      <w:r>
        <w:rPr>
          <w:rFonts w:hint="default"/>
          <w:bCs/>
          <w:lang w:val="en-US" w:eastAsia="zh-CN"/>
        </w:rPr>
        <w:t>0个工作日。对于公众反映的主要问题和意见，生产建设单位应当及时给予处理或者回应。</w:t>
      </w:r>
      <w:r>
        <w:rPr>
          <w:rFonts w:hint="eastAsia"/>
          <w:bCs/>
          <w:lang w:val="en-US" w:eastAsia="zh-CN"/>
        </w:rPr>
        <w:t>编制水土保持方案报告表的生产建设项目水土保持设施验收材料为水土保持设施验收鉴定书。</w:t>
      </w:r>
    </w:p>
    <w:p>
      <w:pPr>
        <w:pStyle w:val="43"/>
        <w:adjustRightInd/>
        <w:snapToGrid/>
        <w:ind w:firstLine="480"/>
        <w:rPr>
          <w:rFonts w:hint="default"/>
          <w:bCs/>
          <w:lang w:val="en-US" w:eastAsia="zh-CN"/>
        </w:rPr>
      </w:pPr>
      <w:r>
        <w:rPr>
          <w:rFonts w:hint="default"/>
          <w:bCs/>
          <w:lang w:val="en-US" w:eastAsia="zh-CN"/>
        </w:rPr>
        <w:t>生产建设单位应</w:t>
      </w:r>
      <w:r>
        <w:rPr>
          <w:rFonts w:hint="eastAsia"/>
          <w:bCs/>
          <w:lang w:val="en-US" w:eastAsia="zh-CN"/>
        </w:rPr>
        <w:t>当在水土保持设施验收通过3个月内，</w:t>
      </w:r>
      <w:r>
        <w:rPr>
          <w:rFonts w:hint="default"/>
          <w:bCs/>
          <w:lang w:val="en-US" w:eastAsia="zh-CN"/>
        </w:rPr>
        <w:t>向审批水土保持方案</w:t>
      </w:r>
      <w:r>
        <w:rPr>
          <w:rFonts w:hint="eastAsia"/>
          <w:bCs/>
          <w:lang w:val="en-US" w:eastAsia="zh-CN"/>
        </w:rPr>
        <w:t>的水行政主管部门或者水土保持方案审批机关的同级水行政主管部门报备</w:t>
      </w:r>
      <w:r>
        <w:rPr>
          <w:rFonts w:hint="default"/>
          <w:bCs/>
          <w:lang w:val="en-US" w:eastAsia="zh-CN"/>
        </w:rPr>
        <w:t>水土保持设施验收材料。</w:t>
      </w:r>
    </w:p>
    <w:p>
      <w:pPr>
        <w:pStyle w:val="43"/>
        <w:adjustRightInd/>
        <w:snapToGrid/>
        <w:ind w:firstLine="480"/>
        <w:rPr>
          <w:rFonts w:hint="default"/>
          <w:bCs/>
          <w:lang w:val="en-US" w:eastAsia="zh-CN"/>
        </w:rPr>
      </w:pPr>
      <w:r>
        <w:rPr>
          <w:rFonts w:hint="default"/>
          <w:bCs/>
          <w:lang w:val="en-US" w:eastAsia="zh-CN"/>
        </w:rPr>
        <w:t>水土保持设施验收后，建设单位</w:t>
      </w:r>
      <w:r>
        <w:rPr>
          <w:rFonts w:hint="eastAsia"/>
          <w:bCs/>
          <w:lang w:val="en-US" w:eastAsia="zh-CN"/>
        </w:rPr>
        <w:t>负责</w:t>
      </w:r>
      <w:r>
        <w:rPr>
          <w:rFonts w:hint="default"/>
          <w:bCs/>
          <w:lang w:val="en-US" w:eastAsia="zh-CN"/>
        </w:rPr>
        <w:t>对项目永久占地范围的水土保持设施进行后续管护与维修，运行管护维修费用从生产运行费中列支；临时占地移交土地权属单位或个人管理维护。</w:t>
      </w:r>
    </w:p>
    <w:p>
      <w:pPr>
        <w:pStyle w:val="43"/>
        <w:adjustRightInd/>
        <w:snapToGrid/>
        <w:ind w:firstLine="480"/>
        <w:rPr>
          <w:rFonts w:hint="default"/>
          <w:bCs/>
          <w:lang w:val="en-US" w:eastAsia="zh-CN"/>
        </w:rPr>
      </w:pPr>
      <w:r>
        <w:rPr>
          <w:rFonts w:hint="eastAsia"/>
          <w:bCs/>
          <w:lang w:val="en-US" w:eastAsia="zh-CN"/>
        </w:rPr>
        <w:t>3、建议</w:t>
      </w:r>
    </w:p>
    <w:p>
      <w:pPr>
        <w:pStyle w:val="43"/>
        <w:adjustRightInd/>
        <w:snapToGrid/>
        <w:ind w:firstLine="480"/>
        <w:rPr>
          <w:rFonts w:hint="default"/>
          <w:bCs/>
          <w:lang w:val="en-US" w:eastAsia="zh-CN"/>
        </w:rPr>
      </w:pPr>
      <w:r>
        <w:rPr>
          <w:rFonts w:hint="default"/>
          <w:bCs/>
          <w:lang w:val="en-US" w:eastAsia="zh-CN"/>
        </w:rPr>
        <w:t>1）严格按照设计文件进行施工，合理安排工期，尽量避开雨季施工。加强施工管理，杜绝乱挖乱弃、随挖随弃的现象发生。加强防护措施，尽量减少工程建设造成的水土流失。</w:t>
      </w:r>
    </w:p>
    <w:p>
      <w:pPr>
        <w:pStyle w:val="43"/>
        <w:adjustRightInd/>
        <w:snapToGrid/>
        <w:ind w:firstLine="480"/>
        <w:rPr>
          <w:rFonts w:hint="default"/>
          <w:bCs/>
          <w:lang w:val="en-US" w:eastAsia="zh-CN"/>
        </w:rPr>
      </w:pPr>
      <w:r>
        <w:rPr>
          <w:rFonts w:hint="eastAsia"/>
          <w:bCs/>
          <w:lang w:val="en-US" w:eastAsia="zh-CN"/>
        </w:rPr>
        <w:t>2</w:t>
      </w:r>
      <w:r>
        <w:rPr>
          <w:rFonts w:hint="default"/>
          <w:bCs/>
          <w:lang w:val="en-US" w:eastAsia="zh-CN"/>
        </w:rPr>
        <w:t>）按照方案落实资金、管理等保证措施，加强对施工单位的管理。</w:t>
      </w:r>
    </w:p>
    <w:p>
      <w:pPr>
        <w:pStyle w:val="43"/>
        <w:adjustRightInd/>
        <w:snapToGrid/>
        <w:ind w:firstLine="480"/>
        <w:rPr>
          <w:rFonts w:hint="default"/>
          <w:bCs/>
          <w:lang w:val="en-US" w:eastAsia="zh-CN"/>
        </w:rPr>
      </w:pPr>
      <w:r>
        <w:rPr>
          <w:rFonts w:hint="eastAsia"/>
          <w:bCs/>
          <w:lang w:val="en-US" w:eastAsia="zh-CN"/>
        </w:rPr>
        <w:t>3</w:t>
      </w:r>
      <w:r>
        <w:rPr>
          <w:rFonts w:hint="default"/>
          <w:bCs/>
          <w:lang w:val="en-US" w:eastAsia="zh-CN"/>
        </w:rPr>
        <w:t>）在具体施工过程中发现问题，要及时处理，反馈信息，尽早确定有效防治方案，确保水土保持工作顺利开展并达到预期的治理目标。</w:t>
      </w:r>
    </w:p>
    <w:p>
      <w:pPr>
        <w:pStyle w:val="43"/>
        <w:adjustRightInd/>
        <w:snapToGrid/>
        <w:ind w:firstLine="480"/>
        <w:rPr>
          <w:rFonts w:hint="default"/>
          <w:bCs/>
          <w:lang w:val="en-US" w:eastAsia="zh-CN"/>
        </w:rPr>
      </w:pPr>
      <w:r>
        <w:rPr>
          <w:rFonts w:hint="eastAsia"/>
          <w:bCs/>
          <w:lang w:val="en-US" w:eastAsia="zh-CN"/>
        </w:rPr>
        <w:t>4</w:t>
      </w:r>
      <w:r>
        <w:rPr>
          <w:rFonts w:hint="default"/>
          <w:bCs/>
          <w:lang w:val="en-US" w:eastAsia="zh-CN"/>
        </w:rPr>
        <w:t>）建议建设单位在运行过程中对</w:t>
      </w:r>
      <w:r>
        <w:rPr>
          <w:rFonts w:hint="eastAsia"/>
          <w:bCs/>
          <w:lang w:val="en-US" w:eastAsia="zh-CN"/>
        </w:rPr>
        <w:t>水土保持设施的管护</w:t>
      </w:r>
      <w:r>
        <w:rPr>
          <w:rFonts w:hint="default"/>
          <w:bCs/>
          <w:lang w:val="en-US" w:eastAsia="zh-CN"/>
        </w:rPr>
        <w:t>，</w:t>
      </w:r>
      <w:r>
        <w:rPr>
          <w:rFonts w:hint="eastAsia"/>
          <w:bCs/>
          <w:lang w:val="en-US" w:eastAsia="zh-CN"/>
        </w:rPr>
        <w:t>及时清理维护水土保持设施，对植物措施定期洒水，及时做好植物更新保障植物措施发挥效益；对工程措施定期清理及时修缮，保障设施正常运行</w:t>
      </w:r>
      <w:r>
        <w:rPr>
          <w:rFonts w:hint="default"/>
          <w:bCs/>
          <w:lang w:val="en-US" w:eastAsia="zh-CN"/>
        </w:rPr>
        <w:t>。</w:t>
      </w:r>
    </w:p>
    <w:p>
      <w:pPr>
        <w:pStyle w:val="43"/>
        <w:adjustRightInd/>
        <w:snapToGrid/>
        <w:ind w:firstLine="480"/>
        <w:rPr>
          <w:rFonts w:hint="default"/>
          <w:bCs/>
          <w:lang w:val="en-US" w:eastAsia="zh-CN"/>
        </w:rPr>
      </w:pPr>
    </w:p>
    <w:sectPr>
      <w:headerReference r:id="rId6"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imes Roman">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魏碑简体">
    <w:altName w:val="微软雅黑"/>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97717"/>
      <w:docPartObj>
        <w:docPartGallery w:val="autotext"/>
      </w:docPartObj>
    </w:sdtPr>
    <w:sdtEndPr>
      <w:rPr>
        <w:sz w:val="21"/>
        <w:szCs w:val="21"/>
      </w:rPr>
    </w:sdtEndPr>
    <w:sdtContent>
      <w:p>
        <w:pPr>
          <w:pStyle w:val="1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11 -</w:t>
        </w:r>
        <w:r>
          <w:rPr>
            <w:sz w:val="21"/>
            <w:szCs w:val="21"/>
          </w:rPr>
          <w:fldChar w:fldCharType="end"/>
        </w:r>
      </w:p>
    </w:sdtContent>
  </w:sdt>
  <w:p>
    <w:pPr>
      <w:pStyle w:val="16"/>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3724E"/>
    <w:multiLevelType w:val="singleLevel"/>
    <w:tmpl w:val="2603724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01E0D"/>
    <w:rsid w:val="000004B5"/>
    <w:rsid w:val="00001AE7"/>
    <w:rsid w:val="00003CA0"/>
    <w:rsid w:val="000043F0"/>
    <w:rsid w:val="0000529C"/>
    <w:rsid w:val="000055CC"/>
    <w:rsid w:val="00007B97"/>
    <w:rsid w:val="00007DC7"/>
    <w:rsid w:val="0001034D"/>
    <w:rsid w:val="0001054D"/>
    <w:rsid w:val="0001240F"/>
    <w:rsid w:val="00014C0A"/>
    <w:rsid w:val="00016474"/>
    <w:rsid w:val="00017E26"/>
    <w:rsid w:val="00020A75"/>
    <w:rsid w:val="000213FA"/>
    <w:rsid w:val="000220B1"/>
    <w:rsid w:val="000226FE"/>
    <w:rsid w:val="00022982"/>
    <w:rsid w:val="00023450"/>
    <w:rsid w:val="000237A4"/>
    <w:rsid w:val="00023E7B"/>
    <w:rsid w:val="000249E4"/>
    <w:rsid w:val="00024A9E"/>
    <w:rsid w:val="00024B4F"/>
    <w:rsid w:val="00024CBA"/>
    <w:rsid w:val="00025095"/>
    <w:rsid w:val="00025448"/>
    <w:rsid w:val="00025DA3"/>
    <w:rsid w:val="00026314"/>
    <w:rsid w:val="00031657"/>
    <w:rsid w:val="00031859"/>
    <w:rsid w:val="00033758"/>
    <w:rsid w:val="0003396A"/>
    <w:rsid w:val="00035531"/>
    <w:rsid w:val="00037798"/>
    <w:rsid w:val="000379C5"/>
    <w:rsid w:val="0004058E"/>
    <w:rsid w:val="00040872"/>
    <w:rsid w:val="00041DAA"/>
    <w:rsid w:val="0004279B"/>
    <w:rsid w:val="00043F08"/>
    <w:rsid w:val="00043F18"/>
    <w:rsid w:val="0004400E"/>
    <w:rsid w:val="000441ED"/>
    <w:rsid w:val="0004551C"/>
    <w:rsid w:val="00045644"/>
    <w:rsid w:val="000456A7"/>
    <w:rsid w:val="000461E2"/>
    <w:rsid w:val="00046207"/>
    <w:rsid w:val="00046C99"/>
    <w:rsid w:val="00051424"/>
    <w:rsid w:val="00052340"/>
    <w:rsid w:val="000523C4"/>
    <w:rsid w:val="00052C3F"/>
    <w:rsid w:val="00053CB0"/>
    <w:rsid w:val="00054D33"/>
    <w:rsid w:val="00055138"/>
    <w:rsid w:val="0005555C"/>
    <w:rsid w:val="000555F6"/>
    <w:rsid w:val="00055686"/>
    <w:rsid w:val="00055807"/>
    <w:rsid w:val="000559AE"/>
    <w:rsid w:val="000559E6"/>
    <w:rsid w:val="000568AD"/>
    <w:rsid w:val="00060386"/>
    <w:rsid w:val="00060DAA"/>
    <w:rsid w:val="00060FE3"/>
    <w:rsid w:val="00062DB5"/>
    <w:rsid w:val="0006356E"/>
    <w:rsid w:val="00064BB2"/>
    <w:rsid w:val="00064C53"/>
    <w:rsid w:val="00065322"/>
    <w:rsid w:val="0006717D"/>
    <w:rsid w:val="00070A76"/>
    <w:rsid w:val="0007138B"/>
    <w:rsid w:val="00071BBB"/>
    <w:rsid w:val="00071DAF"/>
    <w:rsid w:val="000741D9"/>
    <w:rsid w:val="000751AD"/>
    <w:rsid w:val="00075867"/>
    <w:rsid w:val="0007597E"/>
    <w:rsid w:val="000774B4"/>
    <w:rsid w:val="000806CE"/>
    <w:rsid w:val="00080EA9"/>
    <w:rsid w:val="00080EDC"/>
    <w:rsid w:val="0008130C"/>
    <w:rsid w:val="00081813"/>
    <w:rsid w:val="0008211B"/>
    <w:rsid w:val="00082319"/>
    <w:rsid w:val="00082381"/>
    <w:rsid w:val="00083B4C"/>
    <w:rsid w:val="0008433C"/>
    <w:rsid w:val="00084B53"/>
    <w:rsid w:val="00086B82"/>
    <w:rsid w:val="00087B47"/>
    <w:rsid w:val="00092CEA"/>
    <w:rsid w:val="00093295"/>
    <w:rsid w:val="00093504"/>
    <w:rsid w:val="00093FE5"/>
    <w:rsid w:val="000945F9"/>
    <w:rsid w:val="00095167"/>
    <w:rsid w:val="00095EA5"/>
    <w:rsid w:val="0009701F"/>
    <w:rsid w:val="00097B6C"/>
    <w:rsid w:val="000A13B4"/>
    <w:rsid w:val="000A1732"/>
    <w:rsid w:val="000A2E3B"/>
    <w:rsid w:val="000A38A1"/>
    <w:rsid w:val="000A38DE"/>
    <w:rsid w:val="000A3A39"/>
    <w:rsid w:val="000A4631"/>
    <w:rsid w:val="000A684A"/>
    <w:rsid w:val="000A6A02"/>
    <w:rsid w:val="000A74CF"/>
    <w:rsid w:val="000B00E6"/>
    <w:rsid w:val="000B083D"/>
    <w:rsid w:val="000B0F74"/>
    <w:rsid w:val="000B1A00"/>
    <w:rsid w:val="000B1DAB"/>
    <w:rsid w:val="000B27E8"/>
    <w:rsid w:val="000B37CE"/>
    <w:rsid w:val="000B3BA5"/>
    <w:rsid w:val="000B3CEF"/>
    <w:rsid w:val="000B5401"/>
    <w:rsid w:val="000B62F5"/>
    <w:rsid w:val="000B6BD6"/>
    <w:rsid w:val="000B7E4C"/>
    <w:rsid w:val="000C0AA1"/>
    <w:rsid w:val="000C1607"/>
    <w:rsid w:val="000C20A6"/>
    <w:rsid w:val="000C2849"/>
    <w:rsid w:val="000C3763"/>
    <w:rsid w:val="000C558D"/>
    <w:rsid w:val="000C5CFC"/>
    <w:rsid w:val="000C5F7A"/>
    <w:rsid w:val="000C6230"/>
    <w:rsid w:val="000D0C0B"/>
    <w:rsid w:val="000D114E"/>
    <w:rsid w:val="000D251B"/>
    <w:rsid w:val="000D29BD"/>
    <w:rsid w:val="000D33C3"/>
    <w:rsid w:val="000D41A0"/>
    <w:rsid w:val="000D4973"/>
    <w:rsid w:val="000D5818"/>
    <w:rsid w:val="000D5899"/>
    <w:rsid w:val="000D5C1B"/>
    <w:rsid w:val="000D6452"/>
    <w:rsid w:val="000D674F"/>
    <w:rsid w:val="000D7006"/>
    <w:rsid w:val="000D7EF8"/>
    <w:rsid w:val="000E156C"/>
    <w:rsid w:val="000E3302"/>
    <w:rsid w:val="000E3A3B"/>
    <w:rsid w:val="000E42AD"/>
    <w:rsid w:val="000E566E"/>
    <w:rsid w:val="000E6BCD"/>
    <w:rsid w:val="000E7283"/>
    <w:rsid w:val="000F091C"/>
    <w:rsid w:val="000F0C03"/>
    <w:rsid w:val="000F0D33"/>
    <w:rsid w:val="000F11A7"/>
    <w:rsid w:val="000F2415"/>
    <w:rsid w:val="000F2671"/>
    <w:rsid w:val="000F2F6B"/>
    <w:rsid w:val="000F55ED"/>
    <w:rsid w:val="000F597D"/>
    <w:rsid w:val="000F6085"/>
    <w:rsid w:val="000F70B5"/>
    <w:rsid w:val="00100611"/>
    <w:rsid w:val="0010069A"/>
    <w:rsid w:val="0010098E"/>
    <w:rsid w:val="00101DB9"/>
    <w:rsid w:val="00102411"/>
    <w:rsid w:val="00103A1B"/>
    <w:rsid w:val="00105169"/>
    <w:rsid w:val="0010606D"/>
    <w:rsid w:val="001078EA"/>
    <w:rsid w:val="001079FA"/>
    <w:rsid w:val="00112123"/>
    <w:rsid w:val="00112726"/>
    <w:rsid w:val="0011360E"/>
    <w:rsid w:val="00113F78"/>
    <w:rsid w:val="0011702D"/>
    <w:rsid w:val="0012031C"/>
    <w:rsid w:val="001203AA"/>
    <w:rsid w:val="00120E6B"/>
    <w:rsid w:val="00121215"/>
    <w:rsid w:val="00121AC2"/>
    <w:rsid w:val="00121FF5"/>
    <w:rsid w:val="001225E9"/>
    <w:rsid w:val="001248A6"/>
    <w:rsid w:val="001249A3"/>
    <w:rsid w:val="00125391"/>
    <w:rsid w:val="00126D96"/>
    <w:rsid w:val="00127872"/>
    <w:rsid w:val="0013007E"/>
    <w:rsid w:val="001305FD"/>
    <w:rsid w:val="001324E6"/>
    <w:rsid w:val="00132B7E"/>
    <w:rsid w:val="0013311B"/>
    <w:rsid w:val="00133770"/>
    <w:rsid w:val="00134971"/>
    <w:rsid w:val="00135777"/>
    <w:rsid w:val="00135F31"/>
    <w:rsid w:val="0013613E"/>
    <w:rsid w:val="00136F33"/>
    <w:rsid w:val="00141583"/>
    <w:rsid w:val="001432E0"/>
    <w:rsid w:val="00143407"/>
    <w:rsid w:val="00143532"/>
    <w:rsid w:val="00145064"/>
    <w:rsid w:val="00145F5E"/>
    <w:rsid w:val="001460C2"/>
    <w:rsid w:val="001501CF"/>
    <w:rsid w:val="00150D19"/>
    <w:rsid w:val="00153C44"/>
    <w:rsid w:val="0015502D"/>
    <w:rsid w:val="0015571E"/>
    <w:rsid w:val="0015574F"/>
    <w:rsid w:val="00156B19"/>
    <w:rsid w:val="001579F9"/>
    <w:rsid w:val="00157CE4"/>
    <w:rsid w:val="00157FB8"/>
    <w:rsid w:val="001600D9"/>
    <w:rsid w:val="00160A40"/>
    <w:rsid w:val="00160A56"/>
    <w:rsid w:val="001631E5"/>
    <w:rsid w:val="00163F9E"/>
    <w:rsid w:val="001651B5"/>
    <w:rsid w:val="00165741"/>
    <w:rsid w:val="00165751"/>
    <w:rsid w:val="0016627D"/>
    <w:rsid w:val="0016680B"/>
    <w:rsid w:val="00166EDA"/>
    <w:rsid w:val="001707FA"/>
    <w:rsid w:val="00170D8E"/>
    <w:rsid w:val="001722F0"/>
    <w:rsid w:val="001725D4"/>
    <w:rsid w:val="0017261A"/>
    <w:rsid w:val="0017388B"/>
    <w:rsid w:val="00173962"/>
    <w:rsid w:val="0017519A"/>
    <w:rsid w:val="00175522"/>
    <w:rsid w:val="00175791"/>
    <w:rsid w:val="00175DB5"/>
    <w:rsid w:val="001767D2"/>
    <w:rsid w:val="0018084B"/>
    <w:rsid w:val="0018087F"/>
    <w:rsid w:val="001808FE"/>
    <w:rsid w:val="00180B0D"/>
    <w:rsid w:val="00181104"/>
    <w:rsid w:val="001819A8"/>
    <w:rsid w:val="001827F6"/>
    <w:rsid w:val="00182CCC"/>
    <w:rsid w:val="001832FF"/>
    <w:rsid w:val="00183B54"/>
    <w:rsid w:val="0018467D"/>
    <w:rsid w:val="00184CDD"/>
    <w:rsid w:val="00184D78"/>
    <w:rsid w:val="001863B0"/>
    <w:rsid w:val="0019237E"/>
    <w:rsid w:val="0019302F"/>
    <w:rsid w:val="00193E6E"/>
    <w:rsid w:val="0019511C"/>
    <w:rsid w:val="001952CA"/>
    <w:rsid w:val="001954BF"/>
    <w:rsid w:val="001959B7"/>
    <w:rsid w:val="00195BBC"/>
    <w:rsid w:val="00197E80"/>
    <w:rsid w:val="001A0D26"/>
    <w:rsid w:val="001A161F"/>
    <w:rsid w:val="001A172C"/>
    <w:rsid w:val="001A1766"/>
    <w:rsid w:val="001A331A"/>
    <w:rsid w:val="001A4104"/>
    <w:rsid w:val="001A4393"/>
    <w:rsid w:val="001A6955"/>
    <w:rsid w:val="001A6CE9"/>
    <w:rsid w:val="001A710C"/>
    <w:rsid w:val="001A7C10"/>
    <w:rsid w:val="001B03D0"/>
    <w:rsid w:val="001B0C8D"/>
    <w:rsid w:val="001B231B"/>
    <w:rsid w:val="001B2504"/>
    <w:rsid w:val="001B42F0"/>
    <w:rsid w:val="001B53FD"/>
    <w:rsid w:val="001C23B2"/>
    <w:rsid w:val="001C2A8C"/>
    <w:rsid w:val="001C2B72"/>
    <w:rsid w:val="001C2DA0"/>
    <w:rsid w:val="001C3126"/>
    <w:rsid w:val="001C4335"/>
    <w:rsid w:val="001C5068"/>
    <w:rsid w:val="001C570E"/>
    <w:rsid w:val="001C609E"/>
    <w:rsid w:val="001C6F92"/>
    <w:rsid w:val="001C7B3A"/>
    <w:rsid w:val="001D0545"/>
    <w:rsid w:val="001D22A0"/>
    <w:rsid w:val="001D45C7"/>
    <w:rsid w:val="001D5722"/>
    <w:rsid w:val="001D6228"/>
    <w:rsid w:val="001D6679"/>
    <w:rsid w:val="001D6884"/>
    <w:rsid w:val="001D70E1"/>
    <w:rsid w:val="001D730C"/>
    <w:rsid w:val="001E0D58"/>
    <w:rsid w:val="001E2238"/>
    <w:rsid w:val="001E3214"/>
    <w:rsid w:val="001E362C"/>
    <w:rsid w:val="001E4917"/>
    <w:rsid w:val="001E496A"/>
    <w:rsid w:val="001E5963"/>
    <w:rsid w:val="001E6559"/>
    <w:rsid w:val="001E7FC1"/>
    <w:rsid w:val="001F1CAD"/>
    <w:rsid w:val="001F1DF8"/>
    <w:rsid w:val="001F25B2"/>
    <w:rsid w:val="001F2BA7"/>
    <w:rsid w:val="001F38A6"/>
    <w:rsid w:val="001F38C1"/>
    <w:rsid w:val="001F3C46"/>
    <w:rsid w:val="001F417D"/>
    <w:rsid w:val="001F6A24"/>
    <w:rsid w:val="001F763C"/>
    <w:rsid w:val="001F7CF0"/>
    <w:rsid w:val="00200337"/>
    <w:rsid w:val="0020054D"/>
    <w:rsid w:val="00200714"/>
    <w:rsid w:val="00200A66"/>
    <w:rsid w:val="00200C08"/>
    <w:rsid w:val="002010BD"/>
    <w:rsid w:val="00202218"/>
    <w:rsid w:val="00202469"/>
    <w:rsid w:val="00204814"/>
    <w:rsid w:val="00205450"/>
    <w:rsid w:val="0020636C"/>
    <w:rsid w:val="002065E0"/>
    <w:rsid w:val="0021015B"/>
    <w:rsid w:val="00211576"/>
    <w:rsid w:val="0021314A"/>
    <w:rsid w:val="002137AD"/>
    <w:rsid w:val="00213E25"/>
    <w:rsid w:val="00215DD8"/>
    <w:rsid w:val="00216725"/>
    <w:rsid w:val="00220692"/>
    <w:rsid w:val="00220751"/>
    <w:rsid w:val="00220806"/>
    <w:rsid w:val="00221488"/>
    <w:rsid w:val="002215A4"/>
    <w:rsid w:val="00221849"/>
    <w:rsid w:val="00221D70"/>
    <w:rsid w:val="00221E0A"/>
    <w:rsid w:val="00222B97"/>
    <w:rsid w:val="0022356F"/>
    <w:rsid w:val="00223CA4"/>
    <w:rsid w:val="00224AFA"/>
    <w:rsid w:val="00224CE5"/>
    <w:rsid w:val="00225C76"/>
    <w:rsid w:val="00227DFB"/>
    <w:rsid w:val="00227FA3"/>
    <w:rsid w:val="00231C9F"/>
    <w:rsid w:val="00233043"/>
    <w:rsid w:val="002331D0"/>
    <w:rsid w:val="00234011"/>
    <w:rsid w:val="00234D27"/>
    <w:rsid w:val="00235695"/>
    <w:rsid w:val="002357C2"/>
    <w:rsid w:val="00235862"/>
    <w:rsid w:val="00235DC1"/>
    <w:rsid w:val="00236D13"/>
    <w:rsid w:val="00237574"/>
    <w:rsid w:val="002402D9"/>
    <w:rsid w:val="00240E22"/>
    <w:rsid w:val="00242083"/>
    <w:rsid w:val="00242972"/>
    <w:rsid w:val="00244076"/>
    <w:rsid w:val="002445B6"/>
    <w:rsid w:val="002447E0"/>
    <w:rsid w:val="002460B7"/>
    <w:rsid w:val="00247143"/>
    <w:rsid w:val="00247A43"/>
    <w:rsid w:val="00247E09"/>
    <w:rsid w:val="00251634"/>
    <w:rsid w:val="00251856"/>
    <w:rsid w:val="00251BA8"/>
    <w:rsid w:val="00251ED7"/>
    <w:rsid w:val="0025392E"/>
    <w:rsid w:val="00253A51"/>
    <w:rsid w:val="002542DF"/>
    <w:rsid w:val="00254D97"/>
    <w:rsid w:val="00255931"/>
    <w:rsid w:val="00255EA2"/>
    <w:rsid w:val="0025630C"/>
    <w:rsid w:val="0025715F"/>
    <w:rsid w:val="002574A7"/>
    <w:rsid w:val="00257AE5"/>
    <w:rsid w:val="00257F9D"/>
    <w:rsid w:val="002601D9"/>
    <w:rsid w:val="002623F1"/>
    <w:rsid w:val="0026347C"/>
    <w:rsid w:val="0026434D"/>
    <w:rsid w:val="0026442C"/>
    <w:rsid w:val="0026455A"/>
    <w:rsid w:val="00264CC1"/>
    <w:rsid w:val="00264DEC"/>
    <w:rsid w:val="002663A0"/>
    <w:rsid w:val="00266E42"/>
    <w:rsid w:val="00267E75"/>
    <w:rsid w:val="002713F4"/>
    <w:rsid w:val="002718C6"/>
    <w:rsid w:val="002720E3"/>
    <w:rsid w:val="002722FA"/>
    <w:rsid w:val="002727BC"/>
    <w:rsid w:val="002765A7"/>
    <w:rsid w:val="00277D34"/>
    <w:rsid w:val="00277EB4"/>
    <w:rsid w:val="00280E97"/>
    <w:rsid w:val="00282DA8"/>
    <w:rsid w:val="0028431D"/>
    <w:rsid w:val="0028442B"/>
    <w:rsid w:val="00284AC0"/>
    <w:rsid w:val="00285DA6"/>
    <w:rsid w:val="0028612B"/>
    <w:rsid w:val="002863AB"/>
    <w:rsid w:val="002863B9"/>
    <w:rsid w:val="002868A0"/>
    <w:rsid w:val="00286B72"/>
    <w:rsid w:val="00287A8B"/>
    <w:rsid w:val="00290165"/>
    <w:rsid w:val="002903B8"/>
    <w:rsid w:val="00291096"/>
    <w:rsid w:val="002915C8"/>
    <w:rsid w:val="00291D6B"/>
    <w:rsid w:val="00291DB5"/>
    <w:rsid w:val="00292756"/>
    <w:rsid w:val="00293630"/>
    <w:rsid w:val="00293ACE"/>
    <w:rsid w:val="00293ED3"/>
    <w:rsid w:val="00294C7C"/>
    <w:rsid w:val="00296905"/>
    <w:rsid w:val="00297A90"/>
    <w:rsid w:val="002A037E"/>
    <w:rsid w:val="002A14A7"/>
    <w:rsid w:val="002A21BC"/>
    <w:rsid w:val="002A2D0C"/>
    <w:rsid w:val="002A382B"/>
    <w:rsid w:val="002A396C"/>
    <w:rsid w:val="002A3B85"/>
    <w:rsid w:val="002A3C11"/>
    <w:rsid w:val="002A41F2"/>
    <w:rsid w:val="002A5D66"/>
    <w:rsid w:val="002A690B"/>
    <w:rsid w:val="002A76DA"/>
    <w:rsid w:val="002A7728"/>
    <w:rsid w:val="002B02F4"/>
    <w:rsid w:val="002B10C1"/>
    <w:rsid w:val="002B3156"/>
    <w:rsid w:val="002B3AA0"/>
    <w:rsid w:val="002B6152"/>
    <w:rsid w:val="002B6797"/>
    <w:rsid w:val="002B6B62"/>
    <w:rsid w:val="002B7E67"/>
    <w:rsid w:val="002C0786"/>
    <w:rsid w:val="002C1633"/>
    <w:rsid w:val="002C1E9B"/>
    <w:rsid w:val="002C2F9F"/>
    <w:rsid w:val="002C5D05"/>
    <w:rsid w:val="002C66DE"/>
    <w:rsid w:val="002C673E"/>
    <w:rsid w:val="002C6848"/>
    <w:rsid w:val="002C6A27"/>
    <w:rsid w:val="002C7513"/>
    <w:rsid w:val="002D03D6"/>
    <w:rsid w:val="002D2313"/>
    <w:rsid w:val="002D2339"/>
    <w:rsid w:val="002D38B8"/>
    <w:rsid w:val="002D58B4"/>
    <w:rsid w:val="002D5B9C"/>
    <w:rsid w:val="002E1AF3"/>
    <w:rsid w:val="002E23F9"/>
    <w:rsid w:val="002E2DE0"/>
    <w:rsid w:val="002E3511"/>
    <w:rsid w:val="002E48F1"/>
    <w:rsid w:val="002E57F8"/>
    <w:rsid w:val="002E5B1F"/>
    <w:rsid w:val="002E5C88"/>
    <w:rsid w:val="002E6928"/>
    <w:rsid w:val="002E710A"/>
    <w:rsid w:val="002E7AF9"/>
    <w:rsid w:val="002E7C1E"/>
    <w:rsid w:val="002F01E7"/>
    <w:rsid w:val="002F095E"/>
    <w:rsid w:val="002F1AED"/>
    <w:rsid w:val="002F2A22"/>
    <w:rsid w:val="002F2A39"/>
    <w:rsid w:val="002F333B"/>
    <w:rsid w:val="002F3DC2"/>
    <w:rsid w:val="002F46C4"/>
    <w:rsid w:val="00301B62"/>
    <w:rsid w:val="00303726"/>
    <w:rsid w:val="00303838"/>
    <w:rsid w:val="00304120"/>
    <w:rsid w:val="0030511F"/>
    <w:rsid w:val="00305886"/>
    <w:rsid w:val="00306110"/>
    <w:rsid w:val="00306461"/>
    <w:rsid w:val="003078DD"/>
    <w:rsid w:val="003106C4"/>
    <w:rsid w:val="00310D12"/>
    <w:rsid w:val="003110D3"/>
    <w:rsid w:val="00311A6F"/>
    <w:rsid w:val="00313981"/>
    <w:rsid w:val="00314164"/>
    <w:rsid w:val="003143EE"/>
    <w:rsid w:val="00314772"/>
    <w:rsid w:val="00314876"/>
    <w:rsid w:val="00315A90"/>
    <w:rsid w:val="00315DFB"/>
    <w:rsid w:val="00316516"/>
    <w:rsid w:val="0031726D"/>
    <w:rsid w:val="00321B4B"/>
    <w:rsid w:val="00321F3B"/>
    <w:rsid w:val="0032459F"/>
    <w:rsid w:val="00325687"/>
    <w:rsid w:val="003266CB"/>
    <w:rsid w:val="00326C00"/>
    <w:rsid w:val="00326C42"/>
    <w:rsid w:val="003271F9"/>
    <w:rsid w:val="0033166F"/>
    <w:rsid w:val="00331E3E"/>
    <w:rsid w:val="00331F5F"/>
    <w:rsid w:val="003321DD"/>
    <w:rsid w:val="003321FD"/>
    <w:rsid w:val="00332221"/>
    <w:rsid w:val="00332C19"/>
    <w:rsid w:val="00332D55"/>
    <w:rsid w:val="00333F55"/>
    <w:rsid w:val="0033435C"/>
    <w:rsid w:val="003348F3"/>
    <w:rsid w:val="00334910"/>
    <w:rsid w:val="00335155"/>
    <w:rsid w:val="003358E8"/>
    <w:rsid w:val="003363D4"/>
    <w:rsid w:val="0033731B"/>
    <w:rsid w:val="00337943"/>
    <w:rsid w:val="00337A72"/>
    <w:rsid w:val="00340FC3"/>
    <w:rsid w:val="00341C92"/>
    <w:rsid w:val="0034500F"/>
    <w:rsid w:val="003469FF"/>
    <w:rsid w:val="003471B5"/>
    <w:rsid w:val="00347274"/>
    <w:rsid w:val="0034752E"/>
    <w:rsid w:val="003475BC"/>
    <w:rsid w:val="00347BF0"/>
    <w:rsid w:val="00350128"/>
    <w:rsid w:val="00352E6D"/>
    <w:rsid w:val="00353961"/>
    <w:rsid w:val="00354A1C"/>
    <w:rsid w:val="0035530E"/>
    <w:rsid w:val="003564F3"/>
    <w:rsid w:val="00357DDC"/>
    <w:rsid w:val="003608EF"/>
    <w:rsid w:val="00361850"/>
    <w:rsid w:val="00361A92"/>
    <w:rsid w:val="00361C12"/>
    <w:rsid w:val="00362749"/>
    <w:rsid w:val="00362D35"/>
    <w:rsid w:val="0036321C"/>
    <w:rsid w:val="0036323F"/>
    <w:rsid w:val="0036376B"/>
    <w:rsid w:val="0036382B"/>
    <w:rsid w:val="00364AC6"/>
    <w:rsid w:val="00364E9A"/>
    <w:rsid w:val="003665F8"/>
    <w:rsid w:val="0037053E"/>
    <w:rsid w:val="00370B50"/>
    <w:rsid w:val="00371A16"/>
    <w:rsid w:val="003725E4"/>
    <w:rsid w:val="003725EC"/>
    <w:rsid w:val="00373157"/>
    <w:rsid w:val="00373298"/>
    <w:rsid w:val="003771E5"/>
    <w:rsid w:val="003777DD"/>
    <w:rsid w:val="00377E18"/>
    <w:rsid w:val="00380FBC"/>
    <w:rsid w:val="00381272"/>
    <w:rsid w:val="00382427"/>
    <w:rsid w:val="003834C5"/>
    <w:rsid w:val="00383AC2"/>
    <w:rsid w:val="00384941"/>
    <w:rsid w:val="003869D3"/>
    <w:rsid w:val="00387124"/>
    <w:rsid w:val="003871DF"/>
    <w:rsid w:val="003874FB"/>
    <w:rsid w:val="003914D7"/>
    <w:rsid w:val="00391A1B"/>
    <w:rsid w:val="0039350B"/>
    <w:rsid w:val="00393A07"/>
    <w:rsid w:val="00395223"/>
    <w:rsid w:val="0039545C"/>
    <w:rsid w:val="00395EA7"/>
    <w:rsid w:val="00396BAC"/>
    <w:rsid w:val="003972D5"/>
    <w:rsid w:val="003A0ABA"/>
    <w:rsid w:val="003A0CF9"/>
    <w:rsid w:val="003A0D83"/>
    <w:rsid w:val="003A10AC"/>
    <w:rsid w:val="003A1B60"/>
    <w:rsid w:val="003A23A3"/>
    <w:rsid w:val="003A25F5"/>
    <w:rsid w:val="003A40E5"/>
    <w:rsid w:val="003A7267"/>
    <w:rsid w:val="003A77C7"/>
    <w:rsid w:val="003A78D3"/>
    <w:rsid w:val="003A7D6F"/>
    <w:rsid w:val="003B0038"/>
    <w:rsid w:val="003B1054"/>
    <w:rsid w:val="003B1FD7"/>
    <w:rsid w:val="003B25CC"/>
    <w:rsid w:val="003B3288"/>
    <w:rsid w:val="003B4242"/>
    <w:rsid w:val="003B42D5"/>
    <w:rsid w:val="003B465F"/>
    <w:rsid w:val="003B520B"/>
    <w:rsid w:val="003B52C9"/>
    <w:rsid w:val="003B562A"/>
    <w:rsid w:val="003B5DFB"/>
    <w:rsid w:val="003B5E51"/>
    <w:rsid w:val="003B6272"/>
    <w:rsid w:val="003B693E"/>
    <w:rsid w:val="003B7155"/>
    <w:rsid w:val="003B77FA"/>
    <w:rsid w:val="003B7CFA"/>
    <w:rsid w:val="003B7E62"/>
    <w:rsid w:val="003C1B23"/>
    <w:rsid w:val="003C21EF"/>
    <w:rsid w:val="003C29FC"/>
    <w:rsid w:val="003C3565"/>
    <w:rsid w:val="003C36C7"/>
    <w:rsid w:val="003C480F"/>
    <w:rsid w:val="003C5445"/>
    <w:rsid w:val="003C59C8"/>
    <w:rsid w:val="003C5A1D"/>
    <w:rsid w:val="003C615E"/>
    <w:rsid w:val="003C66DB"/>
    <w:rsid w:val="003C67EA"/>
    <w:rsid w:val="003C6AA1"/>
    <w:rsid w:val="003C7DC9"/>
    <w:rsid w:val="003C7EF6"/>
    <w:rsid w:val="003D02C6"/>
    <w:rsid w:val="003D02F1"/>
    <w:rsid w:val="003D0BFD"/>
    <w:rsid w:val="003D2329"/>
    <w:rsid w:val="003D2490"/>
    <w:rsid w:val="003D3C13"/>
    <w:rsid w:val="003D4792"/>
    <w:rsid w:val="003D4BF8"/>
    <w:rsid w:val="003D6524"/>
    <w:rsid w:val="003D66B4"/>
    <w:rsid w:val="003D7379"/>
    <w:rsid w:val="003D7453"/>
    <w:rsid w:val="003E2508"/>
    <w:rsid w:val="003E29A6"/>
    <w:rsid w:val="003E3A88"/>
    <w:rsid w:val="003E3C31"/>
    <w:rsid w:val="003E5EDE"/>
    <w:rsid w:val="003E7D2A"/>
    <w:rsid w:val="003F3030"/>
    <w:rsid w:val="003F3A10"/>
    <w:rsid w:val="003F3FC0"/>
    <w:rsid w:val="003F4A2F"/>
    <w:rsid w:val="003F514B"/>
    <w:rsid w:val="003F610D"/>
    <w:rsid w:val="003F6325"/>
    <w:rsid w:val="003F6357"/>
    <w:rsid w:val="003F6CA1"/>
    <w:rsid w:val="003F7305"/>
    <w:rsid w:val="004006EE"/>
    <w:rsid w:val="00402123"/>
    <w:rsid w:val="00402665"/>
    <w:rsid w:val="0040267B"/>
    <w:rsid w:val="00403B12"/>
    <w:rsid w:val="00403F64"/>
    <w:rsid w:val="00404C1A"/>
    <w:rsid w:val="00405D29"/>
    <w:rsid w:val="0040743E"/>
    <w:rsid w:val="00410D32"/>
    <w:rsid w:val="0041109F"/>
    <w:rsid w:val="00411D0C"/>
    <w:rsid w:val="00412667"/>
    <w:rsid w:val="0041288F"/>
    <w:rsid w:val="00413CC0"/>
    <w:rsid w:val="004147F7"/>
    <w:rsid w:val="00414E32"/>
    <w:rsid w:val="00420372"/>
    <w:rsid w:val="00420C2B"/>
    <w:rsid w:val="0042162A"/>
    <w:rsid w:val="00421945"/>
    <w:rsid w:val="00422865"/>
    <w:rsid w:val="0042394E"/>
    <w:rsid w:val="00423AB1"/>
    <w:rsid w:val="00423AE2"/>
    <w:rsid w:val="00424680"/>
    <w:rsid w:val="00426A12"/>
    <w:rsid w:val="00427A77"/>
    <w:rsid w:val="00430765"/>
    <w:rsid w:val="00430AD9"/>
    <w:rsid w:val="00431225"/>
    <w:rsid w:val="00432F98"/>
    <w:rsid w:val="004334BC"/>
    <w:rsid w:val="0043620E"/>
    <w:rsid w:val="0043650F"/>
    <w:rsid w:val="00436B77"/>
    <w:rsid w:val="00437041"/>
    <w:rsid w:val="004379AE"/>
    <w:rsid w:val="00437ED6"/>
    <w:rsid w:val="00440009"/>
    <w:rsid w:val="0044013D"/>
    <w:rsid w:val="004418D7"/>
    <w:rsid w:val="004419BF"/>
    <w:rsid w:val="00441A69"/>
    <w:rsid w:val="00441F91"/>
    <w:rsid w:val="004428CD"/>
    <w:rsid w:val="004429C8"/>
    <w:rsid w:val="00443186"/>
    <w:rsid w:val="004435BC"/>
    <w:rsid w:val="004435EE"/>
    <w:rsid w:val="00443D96"/>
    <w:rsid w:val="004442F5"/>
    <w:rsid w:val="00444738"/>
    <w:rsid w:val="00444DD3"/>
    <w:rsid w:val="00445C17"/>
    <w:rsid w:val="00446398"/>
    <w:rsid w:val="004466B6"/>
    <w:rsid w:val="00447FA0"/>
    <w:rsid w:val="0045029C"/>
    <w:rsid w:val="00450DF6"/>
    <w:rsid w:val="0045168F"/>
    <w:rsid w:val="00452879"/>
    <w:rsid w:val="004529E4"/>
    <w:rsid w:val="00453968"/>
    <w:rsid w:val="00453E46"/>
    <w:rsid w:val="00454344"/>
    <w:rsid w:val="00455743"/>
    <w:rsid w:val="0045590E"/>
    <w:rsid w:val="00455A06"/>
    <w:rsid w:val="00457229"/>
    <w:rsid w:val="0045769E"/>
    <w:rsid w:val="00457FEE"/>
    <w:rsid w:val="0046024A"/>
    <w:rsid w:val="0046029A"/>
    <w:rsid w:val="0046059B"/>
    <w:rsid w:val="004608ED"/>
    <w:rsid w:val="00461F60"/>
    <w:rsid w:val="00463001"/>
    <w:rsid w:val="00464248"/>
    <w:rsid w:val="00464E70"/>
    <w:rsid w:val="004661A9"/>
    <w:rsid w:val="004668F8"/>
    <w:rsid w:val="0046764C"/>
    <w:rsid w:val="00467DB1"/>
    <w:rsid w:val="00470AC3"/>
    <w:rsid w:val="00472282"/>
    <w:rsid w:val="00473341"/>
    <w:rsid w:val="00474244"/>
    <w:rsid w:val="00474DF2"/>
    <w:rsid w:val="004755AB"/>
    <w:rsid w:val="0047579F"/>
    <w:rsid w:val="00475995"/>
    <w:rsid w:val="00476C28"/>
    <w:rsid w:val="004800DA"/>
    <w:rsid w:val="00481386"/>
    <w:rsid w:val="00481928"/>
    <w:rsid w:val="004822B2"/>
    <w:rsid w:val="004831D2"/>
    <w:rsid w:val="0048332E"/>
    <w:rsid w:val="00484C9E"/>
    <w:rsid w:val="00485345"/>
    <w:rsid w:val="004857E3"/>
    <w:rsid w:val="00485BAC"/>
    <w:rsid w:val="00485C59"/>
    <w:rsid w:val="00487294"/>
    <w:rsid w:val="004875EE"/>
    <w:rsid w:val="00487864"/>
    <w:rsid w:val="004879B1"/>
    <w:rsid w:val="00490485"/>
    <w:rsid w:val="0049169F"/>
    <w:rsid w:val="00492126"/>
    <w:rsid w:val="004925F5"/>
    <w:rsid w:val="00493D78"/>
    <w:rsid w:val="004940FC"/>
    <w:rsid w:val="0049467C"/>
    <w:rsid w:val="00494B1E"/>
    <w:rsid w:val="00495A4F"/>
    <w:rsid w:val="00495CB4"/>
    <w:rsid w:val="004961A8"/>
    <w:rsid w:val="00497DC3"/>
    <w:rsid w:val="004A12ED"/>
    <w:rsid w:val="004A151B"/>
    <w:rsid w:val="004A28C3"/>
    <w:rsid w:val="004A3644"/>
    <w:rsid w:val="004A5885"/>
    <w:rsid w:val="004A7028"/>
    <w:rsid w:val="004A7656"/>
    <w:rsid w:val="004A7F30"/>
    <w:rsid w:val="004B0B20"/>
    <w:rsid w:val="004B1290"/>
    <w:rsid w:val="004B217C"/>
    <w:rsid w:val="004B3005"/>
    <w:rsid w:val="004B4034"/>
    <w:rsid w:val="004B48A9"/>
    <w:rsid w:val="004B4A00"/>
    <w:rsid w:val="004B56AF"/>
    <w:rsid w:val="004B5AF6"/>
    <w:rsid w:val="004B7B4F"/>
    <w:rsid w:val="004C0C3D"/>
    <w:rsid w:val="004C139F"/>
    <w:rsid w:val="004C1F0D"/>
    <w:rsid w:val="004C2B7D"/>
    <w:rsid w:val="004C30BB"/>
    <w:rsid w:val="004C3E30"/>
    <w:rsid w:val="004C5248"/>
    <w:rsid w:val="004C7801"/>
    <w:rsid w:val="004C7A50"/>
    <w:rsid w:val="004D022B"/>
    <w:rsid w:val="004D025C"/>
    <w:rsid w:val="004D04B2"/>
    <w:rsid w:val="004D080F"/>
    <w:rsid w:val="004D3158"/>
    <w:rsid w:val="004D4294"/>
    <w:rsid w:val="004D4F68"/>
    <w:rsid w:val="004D5678"/>
    <w:rsid w:val="004D56BB"/>
    <w:rsid w:val="004D6008"/>
    <w:rsid w:val="004D6174"/>
    <w:rsid w:val="004D7407"/>
    <w:rsid w:val="004D779E"/>
    <w:rsid w:val="004D798B"/>
    <w:rsid w:val="004D7A73"/>
    <w:rsid w:val="004E1678"/>
    <w:rsid w:val="004E304D"/>
    <w:rsid w:val="004E3686"/>
    <w:rsid w:val="004E3826"/>
    <w:rsid w:val="004E5157"/>
    <w:rsid w:val="004E6B96"/>
    <w:rsid w:val="004E7599"/>
    <w:rsid w:val="004E7A80"/>
    <w:rsid w:val="004F299B"/>
    <w:rsid w:val="004F38DD"/>
    <w:rsid w:val="004F4B5C"/>
    <w:rsid w:val="004F4DEF"/>
    <w:rsid w:val="004F57B9"/>
    <w:rsid w:val="004F5D41"/>
    <w:rsid w:val="004F65B5"/>
    <w:rsid w:val="004F65E6"/>
    <w:rsid w:val="00501526"/>
    <w:rsid w:val="005016BC"/>
    <w:rsid w:val="00501E0D"/>
    <w:rsid w:val="00502ECF"/>
    <w:rsid w:val="0050321A"/>
    <w:rsid w:val="00504932"/>
    <w:rsid w:val="00505641"/>
    <w:rsid w:val="005062A5"/>
    <w:rsid w:val="005065B7"/>
    <w:rsid w:val="005073F8"/>
    <w:rsid w:val="005079B3"/>
    <w:rsid w:val="00507BC1"/>
    <w:rsid w:val="00507F5A"/>
    <w:rsid w:val="00512A8D"/>
    <w:rsid w:val="00513A09"/>
    <w:rsid w:val="005156C0"/>
    <w:rsid w:val="00515935"/>
    <w:rsid w:val="00516A5A"/>
    <w:rsid w:val="005200A0"/>
    <w:rsid w:val="00520AA4"/>
    <w:rsid w:val="00520E14"/>
    <w:rsid w:val="00520E32"/>
    <w:rsid w:val="005210A0"/>
    <w:rsid w:val="005214C0"/>
    <w:rsid w:val="005218E0"/>
    <w:rsid w:val="00525994"/>
    <w:rsid w:val="00525DB0"/>
    <w:rsid w:val="00526EFE"/>
    <w:rsid w:val="005273BD"/>
    <w:rsid w:val="0052742D"/>
    <w:rsid w:val="005334EB"/>
    <w:rsid w:val="0053376B"/>
    <w:rsid w:val="00534F6D"/>
    <w:rsid w:val="00534F8C"/>
    <w:rsid w:val="00534FDA"/>
    <w:rsid w:val="0053511C"/>
    <w:rsid w:val="00535506"/>
    <w:rsid w:val="0053564B"/>
    <w:rsid w:val="00535A03"/>
    <w:rsid w:val="00535A85"/>
    <w:rsid w:val="005360D2"/>
    <w:rsid w:val="00540995"/>
    <w:rsid w:val="005416A2"/>
    <w:rsid w:val="00541C4C"/>
    <w:rsid w:val="0054229E"/>
    <w:rsid w:val="0054316C"/>
    <w:rsid w:val="0054353E"/>
    <w:rsid w:val="0054363A"/>
    <w:rsid w:val="005440EF"/>
    <w:rsid w:val="005443DD"/>
    <w:rsid w:val="005446B6"/>
    <w:rsid w:val="00544849"/>
    <w:rsid w:val="00544929"/>
    <w:rsid w:val="00545ACA"/>
    <w:rsid w:val="005462A3"/>
    <w:rsid w:val="005519EE"/>
    <w:rsid w:val="00551D94"/>
    <w:rsid w:val="00552434"/>
    <w:rsid w:val="00552967"/>
    <w:rsid w:val="00553459"/>
    <w:rsid w:val="0055472D"/>
    <w:rsid w:val="00554FB3"/>
    <w:rsid w:val="005554F1"/>
    <w:rsid w:val="00555A5E"/>
    <w:rsid w:val="00556BA3"/>
    <w:rsid w:val="00557D9F"/>
    <w:rsid w:val="00557E56"/>
    <w:rsid w:val="0056062E"/>
    <w:rsid w:val="00560793"/>
    <w:rsid w:val="00560A15"/>
    <w:rsid w:val="00561566"/>
    <w:rsid w:val="00562294"/>
    <w:rsid w:val="0056231E"/>
    <w:rsid w:val="00563770"/>
    <w:rsid w:val="005661BD"/>
    <w:rsid w:val="0056622C"/>
    <w:rsid w:val="005663A7"/>
    <w:rsid w:val="005665BB"/>
    <w:rsid w:val="00570373"/>
    <w:rsid w:val="00570A63"/>
    <w:rsid w:val="00570F92"/>
    <w:rsid w:val="00570F9E"/>
    <w:rsid w:val="00571273"/>
    <w:rsid w:val="0057134D"/>
    <w:rsid w:val="005716D9"/>
    <w:rsid w:val="005718C6"/>
    <w:rsid w:val="005731D2"/>
    <w:rsid w:val="0057341A"/>
    <w:rsid w:val="00574B90"/>
    <w:rsid w:val="00574BFE"/>
    <w:rsid w:val="00575FB1"/>
    <w:rsid w:val="00576B76"/>
    <w:rsid w:val="00577C00"/>
    <w:rsid w:val="00580874"/>
    <w:rsid w:val="00581341"/>
    <w:rsid w:val="005824FD"/>
    <w:rsid w:val="00583298"/>
    <w:rsid w:val="00583754"/>
    <w:rsid w:val="00585EEA"/>
    <w:rsid w:val="00587EAB"/>
    <w:rsid w:val="00587F61"/>
    <w:rsid w:val="0059241B"/>
    <w:rsid w:val="005959D9"/>
    <w:rsid w:val="00595B13"/>
    <w:rsid w:val="0059705B"/>
    <w:rsid w:val="00597395"/>
    <w:rsid w:val="00597F35"/>
    <w:rsid w:val="005A06DB"/>
    <w:rsid w:val="005A0721"/>
    <w:rsid w:val="005A0A7B"/>
    <w:rsid w:val="005A1618"/>
    <w:rsid w:val="005A307A"/>
    <w:rsid w:val="005A45A3"/>
    <w:rsid w:val="005A5497"/>
    <w:rsid w:val="005A5BFB"/>
    <w:rsid w:val="005A6250"/>
    <w:rsid w:val="005A6511"/>
    <w:rsid w:val="005A6C74"/>
    <w:rsid w:val="005A70FB"/>
    <w:rsid w:val="005B00FC"/>
    <w:rsid w:val="005B0129"/>
    <w:rsid w:val="005B08A5"/>
    <w:rsid w:val="005B0EF1"/>
    <w:rsid w:val="005B245A"/>
    <w:rsid w:val="005B32B3"/>
    <w:rsid w:val="005B50F5"/>
    <w:rsid w:val="005B52BC"/>
    <w:rsid w:val="005B7330"/>
    <w:rsid w:val="005B7D7C"/>
    <w:rsid w:val="005B7DA0"/>
    <w:rsid w:val="005C011A"/>
    <w:rsid w:val="005C0580"/>
    <w:rsid w:val="005C18FD"/>
    <w:rsid w:val="005C2C11"/>
    <w:rsid w:val="005C2F1F"/>
    <w:rsid w:val="005C3BF2"/>
    <w:rsid w:val="005C4279"/>
    <w:rsid w:val="005C44A7"/>
    <w:rsid w:val="005D0E5C"/>
    <w:rsid w:val="005D21C5"/>
    <w:rsid w:val="005D3080"/>
    <w:rsid w:val="005D344B"/>
    <w:rsid w:val="005D5175"/>
    <w:rsid w:val="005D5B06"/>
    <w:rsid w:val="005E1A92"/>
    <w:rsid w:val="005E211A"/>
    <w:rsid w:val="005E342E"/>
    <w:rsid w:val="005E393E"/>
    <w:rsid w:val="005E3FC8"/>
    <w:rsid w:val="005E41F5"/>
    <w:rsid w:val="005E431D"/>
    <w:rsid w:val="005E4BCB"/>
    <w:rsid w:val="005E4EE3"/>
    <w:rsid w:val="005E5215"/>
    <w:rsid w:val="005E5B59"/>
    <w:rsid w:val="005E5BE8"/>
    <w:rsid w:val="005E6DF5"/>
    <w:rsid w:val="005F029C"/>
    <w:rsid w:val="005F04A4"/>
    <w:rsid w:val="005F0801"/>
    <w:rsid w:val="005F0AA5"/>
    <w:rsid w:val="005F32F2"/>
    <w:rsid w:val="005F3463"/>
    <w:rsid w:val="005F37E9"/>
    <w:rsid w:val="005F3DA6"/>
    <w:rsid w:val="005F3F87"/>
    <w:rsid w:val="005F41DB"/>
    <w:rsid w:val="005F45E9"/>
    <w:rsid w:val="005F4C8B"/>
    <w:rsid w:val="005F7634"/>
    <w:rsid w:val="006011DA"/>
    <w:rsid w:val="00602427"/>
    <w:rsid w:val="0060242A"/>
    <w:rsid w:val="00602639"/>
    <w:rsid w:val="00602D28"/>
    <w:rsid w:val="006035E7"/>
    <w:rsid w:val="006040DD"/>
    <w:rsid w:val="0060516D"/>
    <w:rsid w:val="00605216"/>
    <w:rsid w:val="006067EB"/>
    <w:rsid w:val="00606DE8"/>
    <w:rsid w:val="00611DFE"/>
    <w:rsid w:val="0061242A"/>
    <w:rsid w:val="006126B9"/>
    <w:rsid w:val="00612FE2"/>
    <w:rsid w:val="0061316B"/>
    <w:rsid w:val="006138AC"/>
    <w:rsid w:val="00613D27"/>
    <w:rsid w:val="006146A7"/>
    <w:rsid w:val="006146D1"/>
    <w:rsid w:val="0061526C"/>
    <w:rsid w:val="00615760"/>
    <w:rsid w:val="00615C26"/>
    <w:rsid w:val="00616148"/>
    <w:rsid w:val="00616C21"/>
    <w:rsid w:val="00616E05"/>
    <w:rsid w:val="00617914"/>
    <w:rsid w:val="006204D1"/>
    <w:rsid w:val="00621184"/>
    <w:rsid w:val="00621202"/>
    <w:rsid w:val="00621496"/>
    <w:rsid w:val="006219AB"/>
    <w:rsid w:val="00621B4C"/>
    <w:rsid w:val="00621BE3"/>
    <w:rsid w:val="00622160"/>
    <w:rsid w:val="00622233"/>
    <w:rsid w:val="00623FA9"/>
    <w:rsid w:val="006245D9"/>
    <w:rsid w:val="0062497E"/>
    <w:rsid w:val="00624D12"/>
    <w:rsid w:val="00626215"/>
    <w:rsid w:val="00626EC7"/>
    <w:rsid w:val="00627DB0"/>
    <w:rsid w:val="00630E86"/>
    <w:rsid w:val="0063114E"/>
    <w:rsid w:val="006329AB"/>
    <w:rsid w:val="00632AD1"/>
    <w:rsid w:val="00633C30"/>
    <w:rsid w:val="00635791"/>
    <w:rsid w:val="00635A80"/>
    <w:rsid w:val="00636335"/>
    <w:rsid w:val="00637BC0"/>
    <w:rsid w:val="00640584"/>
    <w:rsid w:val="00640C6B"/>
    <w:rsid w:val="00640D21"/>
    <w:rsid w:val="00641E77"/>
    <w:rsid w:val="00642E79"/>
    <w:rsid w:val="006431D1"/>
    <w:rsid w:val="00643545"/>
    <w:rsid w:val="00644933"/>
    <w:rsid w:val="00644FAA"/>
    <w:rsid w:val="006462C5"/>
    <w:rsid w:val="00647088"/>
    <w:rsid w:val="00647286"/>
    <w:rsid w:val="00647F05"/>
    <w:rsid w:val="00651B80"/>
    <w:rsid w:val="00651FBA"/>
    <w:rsid w:val="006529C3"/>
    <w:rsid w:val="0065350E"/>
    <w:rsid w:val="00653864"/>
    <w:rsid w:val="00655485"/>
    <w:rsid w:val="00655F63"/>
    <w:rsid w:val="00656100"/>
    <w:rsid w:val="00656B42"/>
    <w:rsid w:val="00656F41"/>
    <w:rsid w:val="006578FE"/>
    <w:rsid w:val="00657E3D"/>
    <w:rsid w:val="00657E78"/>
    <w:rsid w:val="00660CF5"/>
    <w:rsid w:val="00661923"/>
    <w:rsid w:val="006625C5"/>
    <w:rsid w:val="00663DA6"/>
    <w:rsid w:val="00665246"/>
    <w:rsid w:val="006702BA"/>
    <w:rsid w:val="006705B9"/>
    <w:rsid w:val="00670809"/>
    <w:rsid w:val="00671553"/>
    <w:rsid w:val="0067232D"/>
    <w:rsid w:val="0067280D"/>
    <w:rsid w:val="00672C4A"/>
    <w:rsid w:val="006739FB"/>
    <w:rsid w:val="006741B1"/>
    <w:rsid w:val="006742D6"/>
    <w:rsid w:val="00674324"/>
    <w:rsid w:val="00674C0E"/>
    <w:rsid w:val="00674C2E"/>
    <w:rsid w:val="00675D1A"/>
    <w:rsid w:val="00675E83"/>
    <w:rsid w:val="00675EBB"/>
    <w:rsid w:val="00676B20"/>
    <w:rsid w:val="0067736A"/>
    <w:rsid w:val="006778BD"/>
    <w:rsid w:val="006808A5"/>
    <w:rsid w:val="00682F6B"/>
    <w:rsid w:val="00683963"/>
    <w:rsid w:val="00683D8E"/>
    <w:rsid w:val="00686355"/>
    <w:rsid w:val="00686406"/>
    <w:rsid w:val="0069008F"/>
    <w:rsid w:val="006901B7"/>
    <w:rsid w:val="00690832"/>
    <w:rsid w:val="0069092D"/>
    <w:rsid w:val="00690F4E"/>
    <w:rsid w:val="00691C35"/>
    <w:rsid w:val="00691DF8"/>
    <w:rsid w:val="0069338D"/>
    <w:rsid w:val="00693494"/>
    <w:rsid w:val="00693F7D"/>
    <w:rsid w:val="00695034"/>
    <w:rsid w:val="0069512A"/>
    <w:rsid w:val="0069592E"/>
    <w:rsid w:val="00696596"/>
    <w:rsid w:val="00696896"/>
    <w:rsid w:val="006A068B"/>
    <w:rsid w:val="006A0992"/>
    <w:rsid w:val="006A0CAE"/>
    <w:rsid w:val="006A0FED"/>
    <w:rsid w:val="006A16F7"/>
    <w:rsid w:val="006A2448"/>
    <w:rsid w:val="006A30F7"/>
    <w:rsid w:val="006A5238"/>
    <w:rsid w:val="006A584C"/>
    <w:rsid w:val="006A594B"/>
    <w:rsid w:val="006A702D"/>
    <w:rsid w:val="006B02CA"/>
    <w:rsid w:val="006B0D8E"/>
    <w:rsid w:val="006B1D62"/>
    <w:rsid w:val="006B2606"/>
    <w:rsid w:val="006B3248"/>
    <w:rsid w:val="006B4B69"/>
    <w:rsid w:val="006B5650"/>
    <w:rsid w:val="006B5E44"/>
    <w:rsid w:val="006C0EA0"/>
    <w:rsid w:val="006C1713"/>
    <w:rsid w:val="006C3330"/>
    <w:rsid w:val="006C3402"/>
    <w:rsid w:val="006C4582"/>
    <w:rsid w:val="006C4BFA"/>
    <w:rsid w:val="006C6367"/>
    <w:rsid w:val="006C6FA9"/>
    <w:rsid w:val="006D1130"/>
    <w:rsid w:val="006D2285"/>
    <w:rsid w:val="006D2CE3"/>
    <w:rsid w:val="006D4395"/>
    <w:rsid w:val="006D56ED"/>
    <w:rsid w:val="006D5A04"/>
    <w:rsid w:val="006D5A13"/>
    <w:rsid w:val="006D625C"/>
    <w:rsid w:val="006D69ED"/>
    <w:rsid w:val="006D6C4B"/>
    <w:rsid w:val="006D79DB"/>
    <w:rsid w:val="006E0940"/>
    <w:rsid w:val="006E10D0"/>
    <w:rsid w:val="006E18ED"/>
    <w:rsid w:val="006E1A5C"/>
    <w:rsid w:val="006E203F"/>
    <w:rsid w:val="006E2160"/>
    <w:rsid w:val="006E221C"/>
    <w:rsid w:val="006E5E89"/>
    <w:rsid w:val="006E69B1"/>
    <w:rsid w:val="006E7670"/>
    <w:rsid w:val="006E7B9A"/>
    <w:rsid w:val="006E7D23"/>
    <w:rsid w:val="006F0520"/>
    <w:rsid w:val="006F0787"/>
    <w:rsid w:val="006F143F"/>
    <w:rsid w:val="006F15CA"/>
    <w:rsid w:val="006F33AA"/>
    <w:rsid w:val="006F3B1E"/>
    <w:rsid w:val="006F3CC3"/>
    <w:rsid w:val="006F4CBC"/>
    <w:rsid w:val="006F4FD9"/>
    <w:rsid w:val="006F5C80"/>
    <w:rsid w:val="006F6B84"/>
    <w:rsid w:val="006F7978"/>
    <w:rsid w:val="007003C7"/>
    <w:rsid w:val="00702666"/>
    <w:rsid w:val="0070354F"/>
    <w:rsid w:val="007037C7"/>
    <w:rsid w:val="0070392F"/>
    <w:rsid w:val="00703AC7"/>
    <w:rsid w:val="00703D52"/>
    <w:rsid w:val="00703DDA"/>
    <w:rsid w:val="00704A49"/>
    <w:rsid w:val="00704A9B"/>
    <w:rsid w:val="00706B24"/>
    <w:rsid w:val="00707327"/>
    <w:rsid w:val="007073C6"/>
    <w:rsid w:val="007073E2"/>
    <w:rsid w:val="00707472"/>
    <w:rsid w:val="00707639"/>
    <w:rsid w:val="00707823"/>
    <w:rsid w:val="007124E3"/>
    <w:rsid w:val="007127A1"/>
    <w:rsid w:val="00713700"/>
    <w:rsid w:val="0071415A"/>
    <w:rsid w:val="007143DA"/>
    <w:rsid w:val="00715000"/>
    <w:rsid w:val="007152CD"/>
    <w:rsid w:val="00720FA2"/>
    <w:rsid w:val="007223ED"/>
    <w:rsid w:val="00722551"/>
    <w:rsid w:val="0072498D"/>
    <w:rsid w:val="00724E5E"/>
    <w:rsid w:val="007254C3"/>
    <w:rsid w:val="007258D6"/>
    <w:rsid w:val="00725F90"/>
    <w:rsid w:val="0072621D"/>
    <w:rsid w:val="00726594"/>
    <w:rsid w:val="00726CB0"/>
    <w:rsid w:val="007301E4"/>
    <w:rsid w:val="00730309"/>
    <w:rsid w:val="00730697"/>
    <w:rsid w:val="00730877"/>
    <w:rsid w:val="00730FD2"/>
    <w:rsid w:val="007310F3"/>
    <w:rsid w:val="00735781"/>
    <w:rsid w:val="0073695D"/>
    <w:rsid w:val="00737062"/>
    <w:rsid w:val="007405A0"/>
    <w:rsid w:val="007408DC"/>
    <w:rsid w:val="00740945"/>
    <w:rsid w:val="00743C41"/>
    <w:rsid w:val="00743CCA"/>
    <w:rsid w:val="0074448B"/>
    <w:rsid w:val="00745214"/>
    <w:rsid w:val="0074569F"/>
    <w:rsid w:val="00745707"/>
    <w:rsid w:val="00745C58"/>
    <w:rsid w:val="0074686E"/>
    <w:rsid w:val="00746972"/>
    <w:rsid w:val="00746AFA"/>
    <w:rsid w:val="00747836"/>
    <w:rsid w:val="00750A54"/>
    <w:rsid w:val="00751660"/>
    <w:rsid w:val="00751ABE"/>
    <w:rsid w:val="007523A8"/>
    <w:rsid w:val="00752883"/>
    <w:rsid w:val="007528F6"/>
    <w:rsid w:val="00752C35"/>
    <w:rsid w:val="007530A2"/>
    <w:rsid w:val="00753210"/>
    <w:rsid w:val="00753E2A"/>
    <w:rsid w:val="00754651"/>
    <w:rsid w:val="00754B47"/>
    <w:rsid w:val="007560F1"/>
    <w:rsid w:val="0075616F"/>
    <w:rsid w:val="00756CA0"/>
    <w:rsid w:val="0075714E"/>
    <w:rsid w:val="007601A4"/>
    <w:rsid w:val="0076063D"/>
    <w:rsid w:val="00761706"/>
    <w:rsid w:val="0076171C"/>
    <w:rsid w:val="00762038"/>
    <w:rsid w:val="007621EA"/>
    <w:rsid w:val="00762E77"/>
    <w:rsid w:val="00764176"/>
    <w:rsid w:val="00764D67"/>
    <w:rsid w:val="0076568F"/>
    <w:rsid w:val="007658DF"/>
    <w:rsid w:val="00766EDC"/>
    <w:rsid w:val="007702B8"/>
    <w:rsid w:val="00770CD4"/>
    <w:rsid w:val="00771683"/>
    <w:rsid w:val="007720D9"/>
    <w:rsid w:val="00772FCA"/>
    <w:rsid w:val="00773328"/>
    <w:rsid w:val="00775C62"/>
    <w:rsid w:val="00775F0D"/>
    <w:rsid w:val="00776620"/>
    <w:rsid w:val="00776BBE"/>
    <w:rsid w:val="0078021E"/>
    <w:rsid w:val="00780F95"/>
    <w:rsid w:val="00781063"/>
    <w:rsid w:val="00781E02"/>
    <w:rsid w:val="00781F6D"/>
    <w:rsid w:val="0078242C"/>
    <w:rsid w:val="00782A11"/>
    <w:rsid w:val="007834FB"/>
    <w:rsid w:val="00783791"/>
    <w:rsid w:val="00784881"/>
    <w:rsid w:val="00784F20"/>
    <w:rsid w:val="00785FB1"/>
    <w:rsid w:val="00786E52"/>
    <w:rsid w:val="0078740D"/>
    <w:rsid w:val="007916D0"/>
    <w:rsid w:val="00791F38"/>
    <w:rsid w:val="00792121"/>
    <w:rsid w:val="0079693F"/>
    <w:rsid w:val="00796C68"/>
    <w:rsid w:val="00796F6A"/>
    <w:rsid w:val="007A11AB"/>
    <w:rsid w:val="007A1270"/>
    <w:rsid w:val="007A3FD5"/>
    <w:rsid w:val="007A4FE7"/>
    <w:rsid w:val="007A5816"/>
    <w:rsid w:val="007A5BAF"/>
    <w:rsid w:val="007A5CEC"/>
    <w:rsid w:val="007A613E"/>
    <w:rsid w:val="007A69DE"/>
    <w:rsid w:val="007A6D53"/>
    <w:rsid w:val="007A72C0"/>
    <w:rsid w:val="007B0BAC"/>
    <w:rsid w:val="007B0FBC"/>
    <w:rsid w:val="007B11B5"/>
    <w:rsid w:val="007B182E"/>
    <w:rsid w:val="007B1A44"/>
    <w:rsid w:val="007B1CC7"/>
    <w:rsid w:val="007B2340"/>
    <w:rsid w:val="007B23DA"/>
    <w:rsid w:val="007B2AAA"/>
    <w:rsid w:val="007B509B"/>
    <w:rsid w:val="007B6173"/>
    <w:rsid w:val="007B733B"/>
    <w:rsid w:val="007B75CD"/>
    <w:rsid w:val="007C05E1"/>
    <w:rsid w:val="007C07A0"/>
    <w:rsid w:val="007C0E86"/>
    <w:rsid w:val="007C31A8"/>
    <w:rsid w:val="007C343E"/>
    <w:rsid w:val="007C3620"/>
    <w:rsid w:val="007C3F4A"/>
    <w:rsid w:val="007C4C13"/>
    <w:rsid w:val="007C5AF2"/>
    <w:rsid w:val="007C7118"/>
    <w:rsid w:val="007C71D4"/>
    <w:rsid w:val="007C773B"/>
    <w:rsid w:val="007C7F16"/>
    <w:rsid w:val="007D0DBA"/>
    <w:rsid w:val="007D18B2"/>
    <w:rsid w:val="007D3148"/>
    <w:rsid w:val="007D3DC9"/>
    <w:rsid w:val="007D4D48"/>
    <w:rsid w:val="007D72B0"/>
    <w:rsid w:val="007E070B"/>
    <w:rsid w:val="007E0B56"/>
    <w:rsid w:val="007E0ED8"/>
    <w:rsid w:val="007E15B1"/>
    <w:rsid w:val="007E1F50"/>
    <w:rsid w:val="007E2D5E"/>
    <w:rsid w:val="007E2D8F"/>
    <w:rsid w:val="007E335C"/>
    <w:rsid w:val="007E3E67"/>
    <w:rsid w:val="007E4B23"/>
    <w:rsid w:val="007E553C"/>
    <w:rsid w:val="007E60AE"/>
    <w:rsid w:val="007E666A"/>
    <w:rsid w:val="007E6A66"/>
    <w:rsid w:val="007E6CF6"/>
    <w:rsid w:val="007E78FA"/>
    <w:rsid w:val="007E7ADE"/>
    <w:rsid w:val="007E7DF1"/>
    <w:rsid w:val="007F06FE"/>
    <w:rsid w:val="007F106E"/>
    <w:rsid w:val="007F1299"/>
    <w:rsid w:val="007F16AF"/>
    <w:rsid w:val="007F256B"/>
    <w:rsid w:val="007F395E"/>
    <w:rsid w:val="007F4067"/>
    <w:rsid w:val="007F5B95"/>
    <w:rsid w:val="007F6B92"/>
    <w:rsid w:val="008002A5"/>
    <w:rsid w:val="00800A0B"/>
    <w:rsid w:val="00801239"/>
    <w:rsid w:val="008015F8"/>
    <w:rsid w:val="00801A02"/>
    <w:rsid w:val="00803157"/>
    <w:rsid w:val="0080341A"/>
    <w:rsid w:val="00803D60"/>
    <w:rsid w:val="00804CDB"/>
    <w:rsid w:val="008057BA"/>
    <w:rsid w:val="00805C08"/>
    <w:rsid w:val="0080611D"/>
    <w:rsid w:val="008064A1"/>
    <w:rsid w:val="0080654A"/>
    <w:rsid w:val="008066CE"/>
    <w:rsid w:val="00807F71"/>
    <w:rsid w:val="0081202F"/>
    <w:rsid w:val="00813013"/>
    <w:rsid w:val="008136D0"/>
    <w:rsid w:val="00814148"/>
    <w:rsid w:val="00814992"/>
    <w:rsid w:val="00814A9D"/>
    <w:rsid w:val="0081543A"/>
    <w:rsid w:val="0081790F"/>
    <w:rsid w:val="0082046B"/>
    <w:rsid w:val="00821706"/>
    <w:rsid w:val="00821B10"/>
    <w:rsid w:val="00824461"/>
    <w:rsid w:val="0082455C"/>
    <w:rsid w:val="00824EBB"/>
    <w:rsid w:val="008258C2"/>
    <w:rsid w:val="00825C80"/>
    <w:rsid w:val="00826EAA"/>
    <w:rsid w:val="008301DF"/>
    <w:rsid w:val="00831126"/>
    <w:rsid w:val="008335CE"/>
    <w:rsid w:val="00833FC1"/>
    <w:rsid w:val="00834CBC"/>
    <w:rsid w:val="0083648C"/>
    <w:rsid w:val="00837264"/>
    <w:rsid w:val="00841943"/>
    <w:rsid w:val="0084204D"/>
    <w:rsid w:val="0084233F"/>
    <w:rsid w:val="00842EC9"/>
    <w:rsid w:val="00843947"/>
    <w:rsid w:val="0084448C"/>
    <w:rsid w:val="00845B69"/>
    <w:rsid w:val="00847777"/>
    <w:rsid w:val="00847F1D"/>
    <w:rsid w:val="00851982"/>
    <w:rsid w:val="00852F6C"/>
    <w:rsid w:val="00853359"/>
    <w:rsid w:val="00853422"/>
    <w:rsid w:val="0085356F"/>
    <w:rsid w:val="00853E07"/>
    <w:rsid w:val="00854805"/>
    <w:rsid w:val="008563C9"/>
    <w:rsid w:val="008564A4"/>
    <w:rsid w:val="00856994"/>
    <w:rsid w:val="00857990"/>
    <w:rsid w:val="00861460"/>
    <w:rsid w:val="008620FD"/>
    <w:rsid w:val="0086277E"/>
    <w:rsid w:val="00862920"/>
    <w:rsid w:val="0086348C"/>
    <w:rsid w:val="00863907"/>
    <w:rsid w:val="008639DA"/>
    <w:rsid w:val="00864526"/>
    <w:rsid w:val="00865133"/>
    <w:rsid w:val="008654C2"/>
    <w:rsid w:val="00865A9E"/>
    <w:rsid w:val="00870144"/>
    <w:rsid w:val="00870638"/>
    <w:rsid w:val="00870B22"/>
    <w:rsid w:val="00870B64"/>
    <w:rsid w:val="00871A2F"/>
    <w:rsid w:val="00871BA6"/>
    <w:rsid w:val="00871CCF"/>
    <w:rsid w:val="00872DB1"/>
    <w:rsid w:val="00874577"/>
    <w:rsid w:val="00875E2E"/>
    <w:rsid w:val="008763B3"/>
    <w:rsid w:val="00876875"/>
    <w:rsid w:val="00877170"/>
    <w:rsid w:val="00877BBC"/>
    <w:rsid w:val="0088095B"/>
    <w:rsid w:val="00880C43"/>
    <w:rsid w:val="0088194E"/>
    <w:rsid w:val="00883499"/>
    <w:rsid w:val="00884353"/>
    <w:rsid w:val="00885853"/>
    <w:rsid w:val="00885A71"/>
    <w:rsid w:val="00885FB4"/>
    <w:rsid w:val="00886D10"/>
    <w:rsid w:val="008873E2"/>
    <w:rsid w:val="00887E80"/>
    <w:rsid w:val="008916EC"/>
    <w:rsid w:val="0089187E"/>
    <w:rsid w:val="00894930"/>
    <w:rsid w:val="0089570F"/>
    <w:rsid w:val="0089571D"/>
    <w:rsid w:val="0089683F"/>
    <w:rsid w:val="00896AB4"/>
    <w:rsid w:val="008A041F"/>
    <w:rsid w:val="008A0A4C"/>
    <w:rsid w:val="008A0D2F"/>
    <w:rsid w:val="008A14F1"/>
    <w:rsid w:val="008A1FAA"/>
    <w:rsid w:val="008A3998"/>
    <w:rsid w:val="008A3AE8"/>
    <w:rsid w:val="008A45E7"/>
    <w:rsid w:val="008A5638"/>
    <w:rsid w:val="008A5D24"/>
    <w:rsid w:val="008A6CEA"/>
    <w:rsid w:val="008A6E2D"/>
    <w:rsid w:val="008A7F16"/>
    <w:rsid w:val="008B07DD"/>
    <w:rsid w:val="008B0941"/>
    <w:rsid w:val="008B0AF4"/>
    <w:rsid w:val="008B1910"/>
    <w:rsid w:val="008B1CC2"/>
    <w:rsid w:val="008B2033"/>
    <w:rsid w:val="008B305D"/>
    <w:rsid w:val="008B3C18"/>
    <w:rsid w:val="008B5BEA"/>
    <w:rsid w:val="008B6355"/>
    <w:rsid w:val="008B6978"/>
    <w:rsid w:val="008B7C87"/>
    <w:rsid w:val="008B7E65"/>
    <w:rsid w:val="008C056F"/>
    <w:rsid w:val="008C0B49"/>
    <w:rsid w:val="008C14C4"/>
    <w:rsid w:val="008C18FC"/>
    <w:rsid w:val="008C2654"/>
    <w:rsid w:val="008C27A7"/>
    <w:rsid w:val="008C2A0E"/>
    <w:rsid w:val="008C2F17"/>
    <w:rsid w:val="008C3A17"/>
    <w:rsid w:val="008C4133"/>
    <w:rsid w:val="008C4232"/>
    <w:rsid w:val="008C47C2"/>
    <w:rsid w:val="008C4842"/>
    <w:rsid w:val="008C48D7"/>
    <w:rsid w:val="008C5397"/>
    <w:rsid w:val="008C5683"/>
    <w:rsid w:val="008C5D5E"/>
    <w:rsid w:val="008C6E73"/>
    <w:rsid w:val="008C7405"/>
    <w:rsid w:val="008C7445"/>
    <w:rsid w:val="008C7854"/>
    <w:rsid w:val="008D05FD"/>
    <w:rsid w:val="008D16DF"/>
    <w:rsid w:val="008D27BD"/>
    <w:rsid w:val="008D3115"/>
    <w:rsid w:val="008D4768"/>
    <w:rsid w:val="008D5733"/>
    <w:rsid w:val="008D6A58"/>
    <w:rsid w:val="008D799B"/>
    <w:rsid w:val="008D7C8B"/>
    <w:rsid w:val="008D7DDB"/>
    <w:rsid w:val="008E016F"/>
    <w:rsid w:val="008E0D16"/>
    <w:rsid w:val="008E0ED5"/>
    <w:rsid w:val="008E18F9"/>
    <w:rsid w:val="008E2ACC"/>
    <w:rsid w:val="008E4CBA"/>
    <w:rsid w:val="008E4D9C"/>
    <w:rsid w:val="008E4E59"/>
    <w:rsid w:val="008E5BBC"/>
    <w:rsid w:val="008E6780"/>
    <w:rsid w:val="008E7192"/>
    <w:rsid w:val="008E74A0"/>
    <w:rsid w:val="008E74F8"/>
    <w:rsid w:val="008F1B8B"/>
    <w:rsid w:val="008F1EE7"/>
    <w:rsid w:val="008F2124"/>
    <w:rsid w:val="008F2490"/>
    <w:rsid w:val="008F42C6"/>
    <w:rsid w:val="008F47DF"/>
    <w:rsid w:val="008F573C"/>
    <w:rsid w:val="008F60FF"/>
    <w:rsid w:val="008F62C6"/>
    <w:rsid w:val="008F64D3"/>
    <w:rsid w:val="008F6C5E"/>
    <w:rsid w:val="008F7A4B"/>
    <w:rsid w:val="008F7C63"/>
    <w:rsid w:val="00900010"/>
    <w:rsid w:val="0090026D"/>
    <w:rsid w:val="00900B7B"/>
    <w:rsid w:val="00901718"/>
    <w:rsid w:val="009020D3"/>
    <w:rsid w:val="009020E6"/>
    <w:rsid w:val="00903221"/>
    <w:rsid w:val="00904565"/>
    <w:rsid w:val="0090578C"/>
    <w:rsid w:val="00906E57"/>
    <w:rsid w:val="00907167"/>
    <w:rsid w:val="00911CF6"/>
    <w:rsid w:val="009120C5"/>
    <w:rsid w:val="00913DD2"/>
    <w:rsid w:val="009144AE"/>
    <w:rsid w:val="009149B2"/>
    <w:rsid w:val="009158C4"/>
    <w:rsid w:val="00916484"/>
    <w:rsid w:val="0092318B"/>
    <w:rsid w:val="00923A4E"/>
    <w:rsid w:val="00923FCF"/>
    <w:rsid w:val="0092511B"/>
    <w:rsid w:val="009253A1"/>
    <w:rsid w:val="00926C35"/>
    <w:rsid w:val="00927319"/>
    <w:rsid w:val="009276EC"/>
    <w:rsid w:val="00930064"/>
    <w:rsid w:val="00931A53"/>
    <w:rsid w:val="00931E7A"/>
    <w:rsid w:val="0093259E"/>
    <w:rsid w:val="00932A78"/>
    <w:rsid w:val="0093314C"/>
    <w:rsid w:val="00934A55"/>
    <w:rsid w:val="00935856"/>
    <w:rsid w:val="00935BB6"/>
    <w:rsid w:val="00935D64"/>
    <w:rsid w:val="00936079"/>
    <w:rsid w:val="00936085"/>
    <w:rsid w:val="00936B75"/>
    <w:rsid w:val="009403AF"/>
    <w:rsid w:val="00940427"/>
    <w:rsid w:val="0094217E"/>
    <w:rsid w:val="00944B02"/>
    <w:rsid w:val="0094504F"/>
    <w:rsid w:val="009450B6"/>
    <w:rsid w:val="00945C19"/>
    <w:rsid w:val="00945F30"/>
    <w:rsid w:val="00946F0F"/>
    <w:rsid w:val="00946F9C"/>
    <w:rsid w:val="00947517"/>
    <w:rsid w:val="00947E1B"/>
    <w:rsid w:val="00950AFC"/>
    <w:rsid w:val="009511C6"/>
    <w:rsid w:val="0095295B"/>
    <w:rsid w:val="00953256"/>
    <w:rsid w:val="00954069"/>
    <w:rsid w:val="009544F7"/>
    <w:rsid w:val="009550FE"/>
    <w:rsid w:val="00955179"/>
    <w:rsid w:val="00956014"/>
    <w:rsid w:val="009568F5"/>
    <w:rsid w:val="00956F53"/>
    <w:rsid w:val="00960466"/>
    <w:rsid w:val="00960C9B"/>
    <w:rsid w:val="0096284C"/>
    <w:rsid w:val="00962F8E"/>
    <w:rsid w:val="0096305E"/>
    <w:rsid w:val="0096347F"/>
    <w:rsid w:val="009634B8"/>
    <w:rsid w:val="00963AC1"/>
    <w:rsid w:val="009659F4"/>
    <w:rsid w:val="00966E90"/>
    <w:rsid w:val="009674DD"/>
    <w:rsid w:val="00967927"/>
    <w:rsid w:val="00970480"/>
    <w:rsid w:val="00970774"/>
    <w:rsid w:val="0097241A"/>
    <w:rsid w:val="0097254A"/>
    <w:rsid w:val="009729F1"/>
    <w:rsid w:val="0097460F"/>
    <w:rsid w:val="00976BD1"/>
    <w:rsid w:val="0097703C"/>
    <w:rsid w:val="009772A9"/>
    <w:rsid w:val="00977754"/>
    <w:rsid w:val="0098105C"/>
    <w:rsid w:val="0098184E"/>
    <w:rsid w:val="00983D30"/>
    <w:rsid w:val="00984D6C"/>
    <w:rsid w:val="00984E36"/>
    <w:rsid w:val="00985527"/>
    <w:rsid w:val="00985EC6"/>
    <w:rsid w:val="00986146"/>
    <w:rsid w:val="009861BC"/>
    <w:rsid w:val="009861ED"/>
    <w:rsid w:val="009867A4"/>
    <w:rsid w:val="00986CE9"/>
    <w:rsid w:val="00986D48"/>
    <w:rsid w:val="00987A3F"/>
    <w:rsid w:val="009908DC"/>
    <w:rsid w:val="009910F0"/>
    <w:rsid w:val="00991116"/>
    <w:rsid w:val="009912D0"/>
    <w:rsid w:val="00991984"/>
    <w:rsid w:val="0099286A"/>
    <w:rsid w:val="00992E31"/>
    <w:rsid w:val="009930AA"/>
    <w:rsid w:val="00993D2D"/>
    <w:rsid w:val="00995826"/>
    <w:rsid w:val="009960A3"/>
    <w:rsid w:val="00996946"/>
    <w:rsid w:val="00996FFF"/>
    <w:rsid w:val="00997342"/>
    <w:rsid w:val="00997EBA"/>
    <w:rsid w:val="009A0551"/>
    <w:rsid w:val="009A05AF"/>
    <w:rsid w:val="009A20F9"/>
    <w:rsid w:val="009A2AFE"/>
    <w:rsid w:val="009A3041"/>
    <w:rsid w:val="009A3992"/>
    <w:rsid w:val="009A4575"/>
    <w:rsid w:val="009A6393"/>
    <w:rsid w:val="009A6565"/>
    <w:rsid w:val="009A69A3"/>
    <w:rsid w:val="009A6D83"/>
    <w:rsid w:val="009A7172"/>
    <w:rsid w:val="009A7583"/>
    <w:rsid w:val="009B092F"/>
    <w:rsid w:val="009B5DE4"/>
    <w:rsid w:val="009B637C"/>
    <w:rsid w:val="009B792E"/>
    <w:rsid w:val="009C001E"/>
    <w:rsid w:val="009C0364"/>
    <w:rsid w:val="009C04A0"/>
    <w:rsid w:val="009C1586"/>
    <w:rsid w:val="009C1785"/>
    <w:rsid w:val="009C1E76"/>
    <w:rsid w:val="009C2787"/>
    <w:rsid w:val="009C2B43"/>
    <w:rsid w:val="009C3045"/>
    <w:rsid w:val="009C368B"/>
    <w:rsid w:val="009C4E5C"/>
    <w:rsid w:val="009C6570"/>
    <w:rsid w:val="009C7005"/>
    <w:rsid w:val="009C774D"/>
    <w:rsid w:val="009C7D9C"/>
    <w:rsid w:val="009D18B5"/>
    <w:rsid w:val="009D2975"/>
    <w:rsid w:val="009D2CEA"/>
    <w:rsid w:val="009D3715"/>
    <w:rsid w:val="009D3905"/>
    <w:rsid w:val="009D4E57"/>
    <w:rsid w:val="009D4F88"/>
    <w:rsid w:val="009D61F9"/>
    <w:rsid w:val="009D6301"/>
    <w:rsid w:val="009D7543"/>
    <w:rsid w:val="009E0809"/>
    <w:rsid w:val="009E11B8"/>
    <w:rsid w:val="009E18CB"/>
    <w:rsid w:val="009E2411"/>
    <w:rsid w:val="009E2D94"/>
    <w:rsid w:val="009E3075"/>
    <w:rsid w:val="009E32DC"/>
    <w:rsid w:val="009E6F3A"/>
    <w:rsid w:val="009E777E"/>
    <w:rsid w:val="009E77C7"/>
    <w:rsid w:val="009F0449"/>
    <w:rsid w:val="009F0CA1"/>
    <w:rsid w:val="009F0D7C"/>
    <w:rsid w:val="009F1F2B"/>
    <w:rsid w:val="009F2073"/>
    <w:rsid w:val="009F22D0"/>
    <w:rsid w:val="009F2482"/>
    <w:rsid w:val="009F2CBC"/>
    <w:rsid w:val="009F2EBA"/>
    <w:rsid w:val="009F3A95"/>
    <w:rsid w:val="009F3B71"/>
    <w:rsid w:val="009F3F8E"/>
    <w:rsid w:val="009F4658"/>
    <w:rsid w:val="009F5B1C"/>
    <w:rsid w:val="009F5C57"/>
    <w:rsid w:val="009F62AB"/>
    <w:rsid w:val="009F73E1"/>
    <w:rsid w:val="009F7B71"/>
    <w:rsid w:val="00A00093"/>
    <w:rsid w:val="00A014CF"/>
    <w:rsid w:val="00A0377B"/>
    <w:rsid w:val="00A039E1"/>
    <w:rsid w:val="00A0496A"/>
    <w:rsid w:val="00A05AF7"/>
    <w:rsid w:val="00A06E17"/>
    <w:rsid w:val="00A104E1"/>
    <w:rsid w:val="00A10C79"/>
    <w:rsid w:val="00A117A7"/>
    <w:rsid w:val="00A11E73"/>
    <w:rsid w:val="00A122B0"/>
    <w:rsid w:val="00A125C0"/>
    <w:rsid w:val="00A1470E"/>
    <w:rsid w:val="00A165BE"/>
    <w:rsid w:val="00A17D0C"/>
    <w:rsid w:val="00A20A39"/>
    <w:rsid w:val="00A2101F"/>
    <w:rsid w:val="00A22176"/>
    <w:rsid w:val="00A22CE0"/>
    <w:rsid w:val="00A2419D"/>
    <w:rsid w:val="00A246A7"/>
    <w:rsid w:val="00A25012"/>
    <w:rsid w:val="00A2534E"/>
    <w:rsid w:val="00A26E22"/>
    <w:rsid w:val="00A270E3"/>
    <w:rsid w:val="00A271D1"/>
    <w:rsid w:val="00A27336"/>
    <w:rsid w:val="00A27AB6"/>
    <w:rsid w:val="00A30AC3"/>
    <w:rsid w:val="00A33512"/>
    <w:rsid w:val="00A339C9"/>
    <w:rsid w:val="00A342B3"/>
    <w:rsid w:val="00A34551"/>
    <w:rsid w:val="00A3496D"/>
    <w:rsid w:val="00A35E65"/>
    <w:rsid w:val="00A36C4C"/>
    <w:rsid w:val="00A371C3"/>
    <w:rsid w:val="00A37B7E"/>
    <w:rsid w:val="00A401A9"/>
    <w:rsid w:val="00A4198A"/>
    <w:rsid w:val="00A4411C"/>
    <w:rsid w:val="00A44BC1"/>
    <w:rsid w:val="00A44F90"/>
    <w:rsid w:val="00A45D6B"/>
    <w:rsid w:val="00A461D7"/>
    <w:rsid w:val="00A47259"/>
    <w:rsid w:val="00A474CD"/>
    <w:rsid w:val="00A507F4"/>
    <w:rsid w:val="00A52175"/>
    <w:rsid w:val="00A52738"/>
    <w:rsid w:val="00A53B2E"/>
    <w:rsid w:val="00A53D39"/>
    <w:rsid w:val="00A554A4"/>
    <w:rsid w:val="00A55E41"/>
    <w:rsid w:val="00A56DF5"/>
    <w:rsid w:val="00A5736F"/>
    <w:rsid w:val="00A57481"/>
    <w:rsid w:val="00A57CC7"/>
    <w:rsid w:val="00A57D60"/>
    <w:rsid w:val="00A6067E"/>
    <w:rsid w:val="00A611DF"/>
    <w:rsid w:val="00A61BDE"/>
    <w:rsid w:val="00A62EAE"/>
    <w:rsid w:val="00A6373F"/>
    <w:rsid w:val="00A645E8"/>
    <w:rsid w:val="00A64F29"/>
    <w:rsid w:val="00A652C5"/>
    <w:rsid w:val="00A66789"/>
    <w:rsid w:val="00A66918"/>
    <w:rsid w:val="00A678FC"/>
    <w:rsid w:val="00A70117"/>
    <w:rsid w:val="00A72544"/>
    <w:rsid w:val="00A726D8"/>
    <w:rsid w:val="00A73313"/>
    <w:rsid w:val="00A7356E"/>
    <w:rsid w:val="00A746C3"/>
    <w:rsid w:val="00A77AC7"/>
    <w:rsid w:val="00A80184"/>
    <w:rsid w:val="00A805E8"/>
    <w:rsid w:val="00A80869"/>
    <w:rsid w:val="00A80E60"/>
    <w:rsid w:val="00A81198"/>
    <w:rsid w:val="00A81340"/>
    <w:rsid w:val="00A823F1"/>
    <w:rsid w:val="00A82BA7"/>
    <w:rsid w:val="00A83587"/>
    <w:rsid w:val="00A83C01"/>
    <w:rsid w:val="00A83D93"/>
    <w:rsid w:val="00A84E9E"/>
    <w:rsid w:val="00A8522B"/>
    <w:rsid w:val="00A86CFF"/>
    <w:rsid w:val="00A87D38"/>
    <w:rsid w:val="00A92557"/>
    <w:rsid w:val="00A93815"/>
    <w:rsid w:val="00A93974"/>
    <w:rsid w:val="00A93B30"/>
    <w:rsid w:val="00A93CD3"/>
    <w:rsid w:val="00A95282"/>
    <w:rsid w:val="00A96EAF"/>
    <w:rsid w:val="00A96F2A"/>
    <w:rsid w:val="00A9713D"/>
    <w:rsid w:val="00AA13A9"/>
    <w:rsid w:val="00AA1B58"/>
    <w:rsid w:val="00AA1B92"/>
    <w:rsid w:val="00AA20AF"/>
    <w:rsid w:val="00AA2859"/>
    <w:rsid w:val="00AA2BA8"/>
    <w:rsid w:val="00AA32D9"/>
    <w:rsid w:val="00AA4B8D"/>
    <w:rsid w:val="00AA4EC8"/>
    <w:rsid w:val="00AA6057"/>
    <w:rsid w:val="00AA7131"/>
    <w:rsid w:val="00AA7D2D"/>
    <w:rsid w:val="00AB0950"/>
    <w:rsid w:val="00AB0B1F"/>
    <w:rsid w:val="00AB0CF6"/>
    <w:rsid w:val="00AB125B"/>
    <w:rsid w:val="00AB1FCF"/>
    <w:rsid w:val="00AB26D3"/>
    <w:rsid w:val="00AB3344"/>
    <w:rsid w:val="00AB3A7A"/>
    <w:rsid w:val="00AB4256"/>
    <w:rsid w:val="00AB4992"/>
    <w:rsid w:val="00AB5883"/>
    <w:rsid w:val="00AB7AD3"/>
    <w:rsid w:val="00AC2F4D"/>
    <w:rsid w:val="00AC31C2"/>
    <w:rsid w:val="00AC5650"/>
    <w:rsid w:val="00AC60EB"/>
    <w:rsid w:val="00AC7288"/>
    <w:rsid w:val="00AC7D59"/>
    <w:rsid w:val="00AD000E"/>
    <w:rsid w:val="00AD3B6C"/>
    <w:rsid w:val="00AD4A4B"/>
    <w:rsid w:val="00AD4E3A"/>
    <w:rsid w:val="00AD4E8C"/>
    <w:rsid w:val="00AD52F7"/>
    <w:rsid w:val="00AD63BF"/>
    <w:rsid w:val="00AD6AA4"/>
    <w:rsid w:val="00AD78DC"/>
    <w:rsid w:val="00AE0744"/>
    <w:rsid w:val="00AE28D7"/>
    <w:rsid w:val="00AE3C23"/>
    <w:rsid w:val="00AE4370"/>
    <w:rsid w:val="00AE48AA"/>
    <w:rsid w:val="00AE5099"/>
    <w:rsid w:val="00AE6755"/>
    <w:rsid w:val="00AE67BE"/>
    <w:rsid w:val="00AE6E23"/>
    <w:rsid w:val="00AE7F0A"/>
    <w:rsid w:val="00AF053A"/>
    <w:rsid w:val="00AF1016"/>
    <w:rsid w:val="00AF2434"/>
    <w:rsid w:val="00AF2464"/>
    <w:rsid w:val="00AF2A96"/>
    <w:rsid w:val="00AF3268"/>
    <w:rsid w:val="00AF3E66"/>
    <w:rsid w:val="00AF5F7F"/>
    <w:rsid w:val="00AF65B6"/>
    <w:rsid w:val="00AF7037"/>
    <w:rsid w:val="00AF78A2"/>
    <w:rsid w:val="00AF7956"/>
    <w:rsid w:val="00AF7AF2"/>
    <w:rsid w:val="00B00526"/>
    <w:rsid w:val="00B00B3D"/>
    <w:rsid w:val="00B01A77"/>
    <w:rsid w:val="00B01FC5"/>
    <w:rsid w:val="00B02027"/>
    <w:rsid w:val="00B02824"/>
    <w:rsid w:val="00B02CEF"/>
    <w:rsid w:val="00B03EEA"/>
    <w:rsid w:val="00B04113"/>
    <w:rsid w:val="00B04E9D"/>
    <w:rsid w:val="00B05405"/>
    <w:rsid w:val="00B06E49"/>
    <w:rsid w:val="00B06ED8"/>
    <w:rsid w:val="00B06F04"/>
    <w:rsid w:val="00B06FCE"/>
    <w:rsid w:val="00B070D1"/>
    <w:rsid w:val="00B07134"/>
    <w:rsid w:val="00B076E3"/>
    <w:rsid w:val="00B10569"/>
    <w:rsid w:val="00B11678"/>
    <w:rsid w:val="00B116E7"/>
    <w:rsid w:val="00B12328"/>
    <w:rsid w:val="00B12639"/>
    <w:rsid w:val="00B12E2E"/>
    <w:rsid w:val="00B141A8"/>
    <w:rsid w:val="00B1657B"/>
    <w:rsid w:val="00B17940"/>
    <w:rsid w:val="00B212A6"/>
    <w:rsid w:val="00B23A79"/>
    <w:rsid w:val="00B23B50"/>
    <w:rsid w:val="00B24944"/>
    <w:rsid w:val="00B24CA1"/>
    <w:rsid w:val="00B252E5"/>
    <w:rsid w:val="00B27C62"/>
    <w:rsid w:val="00B30674"/>
    <w:rsid w:val="00B317B9"/>
    <w:rsid w:val="00B31805"/>
    <w:rsid w:val="00B31EFE"/>
    <w:rsid w:val="00B33EAB"/>
    <w:rsid w:val="00B33EBF"/>
    <w:rsid w:val="00B35783"/>
    <w:rsid w:val="00B35BFC"/>
    <w:rsid w:val="00B35C7C"/>
    <w:rsid w:val="00B35C8A"/>
    <w:rsid w:val="00B35CE6"/>
    <w:rsid w:val="00B35F83"/>
    <w:rsid w:val="00B36914"/>
    <w:rsid w:val="00B378AC"/>
    <w:rsid w:val="00B4063D"/>
    <w:rsid w:val="00B406DE"/>
    <w:rsid w:val="00B41EFC"/>
    <w:rsid w:val="00B435A5"/>
    <w:rsid w:val="00B43E4E"/>
    <w:rsid w:val="00B43F4E"/>
    <w:rsid w:val="00B444A8"/>
    <w:rsid w:val="00B4474F"/>
    <w:rsid w:val="00B450BA"/>
    <w:rsid w:val="00B460D4"/>
    <w:rsid w:val="00B46AD0"/>
    <w:rsid w:val="00B46CB9"/>
    <w:rsid w:val="00B46E1C"/>
    <w:rsid w:val="00B4736B"/>
    <w:rsid w:val="00B47D76"/>
    <w:rsid w:val="00B5003A"/>
    <w:rsid w:val="00B50613"/>
    <w:rsid w:val="00B515A8"/>
    <w:rsid w:val="00B51D54"/>
    <w:rsid w:val="00B51D9C"/>
    <w:rsid w:val="00B528B9"/>
    <w:rsid w:val="00B53052"/>
    <w:rsid w:val="00B546C1"/>
    <w:rsid w:val="00B54C86"/>
    <w:rsid w:val="00B54F38"/>
    <w:rsid w:val="00B55CB8"/>
    <w:rsid w:val="00B56580"/>
    <w:rsid w:val="00B60E04"/>
    <w:rsid w:val="00B61B1A"/>
    <w:rsid w:val="00B61F86"/>
    <w:rsid w:val="00B6303B"/>
    <w:rsid w:val="00B648AC"/>
    <w:rsid w:val="00B66243"/>
    <w:rsid w:val="00B66505"/>
    <w:rsid w:val="00B66DA3"/>
    <w:rsid w:val="00B66F38"/>
    <w:rsid w:val="00B671A3"/>
    <w:rsid w:val="00B676E1"/>
    <w:rsid w:val="00B67ADC"/>
    <w:rsid w:val="00B67ADE"/>
    <w:rsid w:val="00B707E1"/>
    <w:rsid w:val="00B72195"/>
    <w:rsid w:val="00B76002"/>
    <w:rsid w:val="00B76119"/>
    <w:rsid w:val="00B80032"/>
    <w:rsid w:val="00B80133"/>
    <w:rsid w:val="00B8014A"/>
    <w:rsid w:val="00B80A0A"/>
    <w:rsid w:val="00B8132D"/>
    <w:rsid w:val="00B824E6"/>
    <w:rsid w:val="00B82CAE"/>
    <w:rsid w:val="00B83DF8"/>
    <w:rsid w:val="00B83FE7"/>
    <w:rsid w:val="00B846C8"/>
    <w:rsid w:val="00B87690"/>
    <w:rsid w:val="00B90706"/>
    <w:rsid w:val="00B90FA7"/>
    <w:rsid w:val="00B91C2F"/>
    <w:rsid w:val="00B92A73"/>
    <w:rsid w:val="00B9401C"/>
    <w:rsid w:val="00B94335"/>
    <w:rsid w:val="00B954DB"/>
    <w:rsid w:val="00B9587C"/>
    <w:rsid w:val="00B96683"/>
    <w:rsid w:val="00B9673C"/>
    <w:rsid w:val="00BA029D"/>
    <w:rsid w:val="00BA04AF"/>
    <w:rsid w:val="00BA13D2"/>
    <w:rsid w:val="00BA1AB7"/>
    <w:rsid w:val="00BA41E6"/>
    <w:rsid w:val="00BA4BA9"/>
    <w:rsid w:val="00BA4DF0"/>
    <w:rsid w:val="00BA4ECB"/>
    <w:rsid w:val="00BA5D6A"/>
    <w:rsid w:val="00BA61A9"/>
    <w:rsid w:val="00BA660E"/>
    <w:rsid w:val="00BA6C2B"/>
    <w:rsid w:val="00BB0EAC"/>
    <w:rsid w:val="00BB26FC"/>
    <w:rsid w:val="00BB275D"/>
    <w:rsid w:val="00BB36A1"/>
    <w:rsid w:val="00BB4154"/>
    <w:rsid w:val="00BB5632"/>
    <w:rsid w:val="00BB62AD"/>
    <w:rsid w:val="00BB6826"/>
    <w:rsid w:val="00BB797F"/>
    <w:rsid w:val="00BC01E4"/>
    <w:rsid w:val="00BC029A"/>
    <w:rsid w:val="00BC06C3"/>
    <w:rsid w:val="00BC2761"/>
    <w:rsid w:val="00BC3103"/>
    <w:rsid w:val="00BC4DD1"/>
    <w:rsid w:val="00BC4F33"/>
    <w:rsid w:val="00BC4F3E"/>
    <w:rsid w:val="00BC50F2"/>
    <w:rsid w:val="00BC531E"/>
    <w:rsid w:val="00BC5AD6"/>
    <w:rsid w:val="00BC5EBE"/>
    <w:rsid w:val="00BC5FF6"/>
    <w:rsid w:val="00BC7BEF"/>
    <w:rsid w:val="00BC7C07"/>
    <w:rsid w:val="00BD2705"/>
    <w:rsid w:val="00BD3093"/>
    <w:rsid w:val="00BD3312"/>
    <w:rsid w:val="00BD353D"/>
    <w:rsid w:val="00BD39A9"/>
    <w:rsid w:val="00BD4510"/>
    <w:rsid w:val="00BD5FCA"/>
    <w:rsid w:val="00BD6314"/>
    <w:rsid w:val="00BD68F2"/>
    <w:rsid w:val="00BD6CAD"/>
    <w:rsid w:val="00BD79AF"/>
    <w:rsid w:val="00BE076F"/>
    <w:rsid w:val="00BE0A91"/>
    <w:rsid w:val="00BE1EA6"/>
    <w:rsid w:val="00BE4D86"/>
    <w:rsid w:val="00BE51C2"/>
    <w:rsid w:val="00BE61B3"/>
    <w:rsid w:val="00BE6824"/>
    <w:rsid w:val="00BF089F"/>
    <w:rsid w:val="00BF0ACC"/>
    <w:rsid w:val="00BF0FCE"/>
    <w:rsid w:val="00BF17CC"/>
    <w:rsid w:val="00BF4D92"/>
    <w:rsid w:val="00BF5327"/>
    <w:rsid w:val="00BF6908"/>
    <w:rsid w:val="00BF692B"/>
    <w:rsid w:val="00C005CF"/>
    <w:rsid w:val="00C00AFD"/>
    <w:rsid w:val="00C01C51"/>
    <w:rsid w:val="00C02509"/>
    <w:rsid w:val="00C02EE5"/>
    <w:rsid w:val="00C04506"/>
    <w:rsid w:val="00C05ADD"/>
    <w:rsid w:val="00C05BB8"/>
    <w:rsid w:val="00C10B5E"/>
    <w:rsid w:val="00C11660"/>
    <w:rsid w:val="00C11BFE"/>
    <w:rsid w:val="00C12094"/>
    <w:rsid w:val="00C123CB"/>
    <w:rsid w:val="00C13105"/>
    <w:rsid w:val="00C142D9"/>
    <w:rsid w:val="00C149D4"/>
    <w:rsid w:val="00C15148"/>
    <w:rsid w:val="00C169EF"/>
    <w:rsid w:val="00C17459"/>
    <w:rsid w:val="00C17A44"/>
    <w:rsid w:val="00C17BA4"/>
    <w:rsid w:val="00C20520"/>
    <w:rsid w:val="00C20E4D"/>
    <w:rsid w:val="00C2316E"/>
    <w:rsid w:val="00C23418"/>
    <w:rsid w:val="00C23F60"/>
    <w:rsid w:val="00C24175"/>
    <w:rsid w:val="00C24895"/>
    <w:rsid w:val="00C25C58"/>
    <w:rsid w:val="00C263E3"/>
    <w:rsid w:val="00C26733"/>
    <w:rsid w:val="00C268C8"/>
    <w:rsid w:val="00C26E44"/>
    <w:rsid w:val="00C27BBB"/>
    <w:rsid w:val="00C30B9E"/>
    <w:rsid w:val="00C3198C"/>
    <w:rsid w:val="00C31A69"/>
    <w:rsid w:val="00C31D7C"/>
    <w:rsid w:val="00C33645"/>
    <w:rsid w:val="00C33E50"/>
    <w:rsid w:val="00C33FD8"/>
    <w:rsid w:val="00C34178"/>
    <w:rsid w:val="00C34943"/>
    <w:rsid w:val="00C34F72"/>
    <w:rsid w:val="00C350F2"/>
    <w:rsid w:val="00C35AB4"/>
    <w:rsid w:val="00C368B8"/>
    <w:rsid w:val="00C36FAA"/>
    <w:rsid w:val="00C37EFF"/>
    <w:rsid w:val="00C412E2"/>
    <w:rsid w:val="00C41380"/>
    <w:rsid w:val="00C41776"/>
    <w:rsid w:val="00C41E31"/>
    <w:rsid w:val="00C42EFC"/>
    <w:rsid w:val="00C450D2"/>
    <w:rsid w:val="00C4546B"/>
    <w:rsid w:val="00C4594A"/>
    <w:rsid w:val="00C45C39"/>
    <w:rsid w:val="00C46CE9"/>
    <w:rsid w:val="00C505B7"/>
    <w:rsid w:val="00C5073B"/>
    <w:rsid w:val="00C5073E"/>
    <w:rsid w:val="00C50C1F"/>
    <w:rsid w:val="00C51D0B"/>
    <w:rsid w:val="00C52A9D"/>
    <w:rsid w:val="00C55175"/>
    <w:rsid w:val="00C55A98"/>
    <w:rsid w:val="00C564DD"/>
    <w:rsid w:val="00C5729A"/>
    <w:rsid w:val="00C61171"/>
    <w:rsid w:val="00C6124D"/>
    <w:rsid w:val="00C61BAF"/>
    <w:rsid w:val="00C6223C"/>
    <w:rsid w:val="00C64CFD"/>
    <w:rsid w:val="00C666E2"/>
    <w:rsid w:val="00C67246"/>
    <w:rsid w:val="00C701AB"/>
    <w:rsid w:val="00C702C9"/>
    <w:rsid w:val="00C71014"/>
    <w:rsid w:val="00C72D10"/>
    <w:rsid w:val="00C73AE0"/>
    <w:rsid w:val="00C74D4D"/>
    <w:rsid w:val="00C74F3E"/>
    <w:rsid w:val="00C75064"/>
    <w:rsid w:val="00C761A8"/>
    <w:rsid w:val="00C765C9"/>
    <w:rsid w:val="00C77BA2"/>
    <w:rsid w:val="00C77C2B"/>
    <w:rsid w:val="00C81140"/>
    <w:rsid w:val="00C820A5"/>
    <w:rsid w:val="00C823A3"/>
    <w:rsid w:val="00C82B42"/>
    <w:rsid w:val="00C82EC0"/>
    <w:rsid w:val="00C82EE1"/>
    <w:rsid w:val="00C8364B"/>
    <w:rsid w:val="00C84143"/>
    <w:rsid w:val="00C84361"/>
    <w:rsid w:val="00C84C7F"/>
    <w:rsid w:val="00C84EB0"/>
    <w:rsid w:val="00C86D86"/>
    <w:rsid w:val="00C87901"/>
    <w:rsid w:val="00C90147"/>
    <w:rsid w:val="00C90572"/>
    <w:rsid w:val="00C90610"/>
    <w:rsid w:val="00C929E9"/>
    <w:rsid w:val="00C94B9A"/>
    <w:rsid w:val="00C95FC4"/>
    <w:rsid w:val="00C96AD5"/>
    <w:rsid w:val="00C97027"/>
    <w:rsid w:val="00C97877"/>
    <w:rsid w:val="00C97FCD"/>
    <w:rsid w:val="00CA043A"/>
    <w:rsid w:val="00CA09F1"/>
    <w:rsid w:val="00CA1E89"/>
    <w:rsid w:val="00CA3C01"/>
    <w:rsid w:val="00CA4904"/>
    <w:rsid w:val="00CA4989"/>
    <w:rsid w:val="00CA4DC7"/>
    <w:rsid w:val="00CA5BC6"/>
    <w:rsid w:val="00CA67E1"/>
    <w:rsid w:val="00CA6CDE"/>
    <w:rsid w:val="00CB0048"/>
    <w:rsid w:val="00CB04E2"/>
    <w:rsid w:val="00CB073A"/>
    <w:rsid w:val="00CB0DFC"/>
    <w:rsid w:val="00CB1937"/>
    <w:rsid w:val="00CB1A7B"/>
    <w:rsid w:val="00CB234F"/>
    <w:rsid w:val="00CB27CC"/>
    <w:rsid w:val="00CB426F"/>
    <w:rsid w:val="00CB4A9D"/>
    <w:rsid w:val="00CB4CCC"/>
    <w:rsid w:val="00CB4F3F"/>
    <w:rsid w:val="00CB506E"/>
    <w:rsid w:val="00CB6BC2"/>
    <w:rsid w:val="00CC0364"/>
    <w:rsid w:val="00CC04FD"/>
    <w:rsid w:val="00CC1B7A"/>
    <w:rsid w:val="00CC2F31"/>
    <w:rsid w:val="00CC305F"/>
    <w:rsid w:val="00CC32E6"/>
    <w:rsid w:val="00CC3341"/>
    <w:rsid w:val="00CC3DDC"/>
    <w:rsid w:val="00CC437D"/>
    <w:rsid w:val="00CC4FB7"/>
    <w:rsid w:val="00CC53F1"/>
    <w:rsid w:val="00CC5583"/>
    <w:rsid w:val="00CC57AE"/>
    <w:rsid w:val="00CC5E70"/>
    <w:rsid w:val="00CC6321"/>
    <w:rsid w:val="00CC6391"/>
    <w:rsid w:val="00CC68E2"/>
    <w:rsid w:val="00CD031C"/>
    <w:rsid w:val="00CD0380"/>
    <w:rsid w:val="00CD16D6"/>
    <w:rsid w:val="00CD1988"/>
    <w:rsid w:val="00CD2FFF"/>
    <w:rsid w:val="00CD4054"/>
    <w:rsid w:val="00CD47B3"/>
    <w:rsid w:val="00CD50D1"/>
    <w:rsid w:val="00CD6C66"/>
    <w:rsid w:val="00CD73E2"/>
    <w:rsid w:val="00CD78D3"/>
    <w:rsid w:val="00CE0D15"/>
    <w:rsid w:val="00CE150A"/>
    <w:rsid w:val="00CE164C"/>
    <w:rsid w:val="00CE218B"/>
    <w:rsid w:val="00CE27EC"/>
    <w:rsid w:val="00CE2B53"/>
    <w:rsid w:val="00CE2CF0"/>
    <w:rsid w:val="00CE4985"/>
    <w:rsid w:val="00CE4DB3"/>
    <w:rsid w:val="00CE57ED"/>
    <w:rsid w:val="00CE6772"/>
    <w:rsid w:val="00CE6EC9"/>
    <w:rsid w:val="00CE6F4B"/>
    <w:rsid w:val="00CE74D2"/>
    <w:rsid w:val="00CE7D36"/>
    <w:rsid w:val="00CF098E"/>
    <w:rsid w:val="00CF148E"/>
    <w:rsid w:val="00CF1506"/>
    <w:rsid w:val="00CF16D1"/>
    <w:rsid w:val="00CF2606"/>
    <w:rsid w:val="00CF300F"/>
    <w:rsid w:val="00CF3B08"/>
    <w:rsid w:val="00CF4E55"/>
    <w:rsid w:val="00CF4F02"/>
    <w:rsid w:val="00CF55E9"/>
    <w:rsid w:val="00CF5EDC"/>
    <w:rsid w:val="00CF6422"/>
    <w:rsid w:val="00CF6F2D"/>
    <w:rsid w:val="00CF716D"/>
    <w:rsid w:val="00CF77D6"/>
    <w:rsid w:val="00CF7B99"/>
    <w:rsid w:val="00CF7D8D"/>
    <w:rsid w:val="00CF7F60"/>
    <w:rsid w:val="00D00085"/>
    <w:rsid w:val="00D0195C"/>
    <w:rsid w:val="00D01C7A"/>
    <w:rsid w:val="00D0616A"/>
    <w:rsid w:val="00D06848"/>
    <w:rsid w:val="00D11487"/>
    <w:rsid w:val="00D114CC"/>
    <w:rsid w:val="00D11666"/>
    <w:rsid w:val="00D11D3E"/>
    <w:rsid w:val="00D11E6A"/>
    <w:rsid w:val="00D1263F"/>
    <w:rsid w:val="00D129AC"/>
    <w:rsid w:val="00D155A0"/>
    <w:rsid w:val="00D16735"/>
    <w:rsid w:val="00D16D8E"/>
    <w:rsid w:val="00D17D6C"/>
    <w:rsid w:val="00D21424"/>
    <w:rsid w:val="00D214A9"/>
    <w:rsid w:val="00D223A7"/>
    <w:rsid w:val="00D2254E"/>
    <w:rsid w:val="00D22A25"/>
    <w:rsid w:val="00D237A1"/>
    <w:rsid w:val="00D23B5B"/>
    <w:rsid w:val="00D241A8"/>
    <w:rsid w:val="00D2473E"/>
    <w:rsid w:val="00D24B36"/>
    <w:rsid w:val="00D24CA9"/>
    <w:rsid w:val="00D24E9C"/>
    <w:rsid w:val="00D25E93"/>
    <w:rsid w:val="00D27886"/>
    <w:rsid w:val="00D319AB"/>
    <w:rsid w:val="00D32F56"/>
    <w:rsid w:val="00D3352F"/>
    <w:rsid w:val="00D335CE"/>
    <w:rsid w:val="00D33971"/>
    <w:rsid w:val="00D345B0"/>
    <w:rsid w:val="00D34FDA"/>
    <w:rsid w:val="00D362C5"/>
    <w:rsid w:val="00D365E9"/>
    <w:rsid w:val="00D36973"/>
    <w:rsid w:val="00D375B0"/>
    <w:rsid w:val="00D40997"/>
    <w:rsid w:val="00D40A99"/>
    <w:rsid w:val="00D40C88"/>
    <w:rsid w:val="00D4222D"/>
    <w:rsid w:val="00D429F0"/>
    <w:rsid w:val="00D431C8"/>
    <w:rsid w:val="00D439D6"/>
    <w:rsid w:val="00D44055"/>
    <w:rsid w:val="00D4422E"/>
    <w:rsid w:val="00D44813"/>
    <w:rsid w:val="00D44C90"/>
    <w:rsid w:val="00D45F08"/>
    <w:rsid w:val="00D47A1B"/>
    <w:rsid w:val="00D47AF6"/>
    <w:rsid w:val="00D503BA"/>
    <w:rsid w:val="00D53825"/>
    <w:rsid w:val="00D54716"/>
    <w:rsid w:val="00D550BA"/>
    <w:rsid w:val="00D558EE"/>
    <w:rsid w:val="00D564CF"/>
    <w:rsid w:val="00D56804"/>
    <w:rsid w:val="00D56B0F"/>
    <w:rsid w:val="00D57782"/>
    <w:rsid w:val="00D60001"/>
    <w:rsid w:val="00D60527"/>
    <w:rsid w:val="00D608AF"/>
    <w:rsid w:val="00D617B4"/>
    <w:rsid w:val="00D63379"/>
    <w:rsid w:val="00D64180"/>
    <w:rsid w:val="00D64724"/>
    <w:rsid w:val="00D66627"/>
    <w:rsid w:val="00D66825"/>
    <w:rsid w:val="00D66B95"/>
    <w:rsid w:val="00D67BE0"/>
    <w:rsid w:val="00D71707"/>
    <w:rsid w:val="00D719D7"/>
    <w:rsid w:val="00D72054"/>
    <w:rsid w:val="00D722D2"/>
    <w:rsid w:val="00D726C3"/>
    <w:rsid w:val="00D729B2"/>
    <w:rsid w:val="00D7527C"/>
    <w:rsid w:val="00D75E25"/>
    <w:rsid w:val="00D76B82"/>
    <w:rsid w:val="00D77DA2"/>
    <w:rsid w:val="00D77E18"/>
    <w:rsid w:val="00D8073E"/>
    <w:rsid w:val="00D82137"/>
    <w:rsid w:val="00D8336B"/>
    <w:rsid w:val="00D83C9D"/>
    <w:rsid w:val="00D83DB0"/>
    <w:rsid w:val="00D84857"/>
    <w:rsid w:val="00D84FD4"/>
    <w:rsid w:val="00D87361"/>
    <w:rsid w:val="00D90AC9"/>
    <w:rsid w:val="00D90C8E"/>
    <w:rsid w:val="00D921FE"/>
    <w:rsid w:val="00D92F0B"/>
    <w:rsid w:val="00D93489"/>
    <w:rsid w:val="00D94871"/>
    <w:rsid w:val="00D9579B"/>
    <w:rsid w:val="00D95BC7"/>
    <w:rsid w:val="00D9707A"/>
    <w:rsid w:val="00D974E9"/>
    <w:rsid w:val="00DA02E5"/>
    <w:rsid w:val="00DA08A8"/>
    <w:rsid w:val="00DA0ABA"/>
    <w:rsid w:val="00DA11EC"/>
    <w:rsid w:val="00DA4C75"/>
    <w:rsid w:val="00DA5630"/>
    <w:rsid w:val="00DA5FD7"/>
    <w:rsid w:val="00DA6005"/>
    <w:rsid w:val="00DB00A6"/>
    <w:rsid w:val="00DB0664"/>
    <w:rsid w:val="00DB09C3"/>
    <w:rsid w:val="00DB1CBB"/>
    <w:rsid w:val="00DB292A"/>
    <w:rsid w:val="00DB32B6"/>
    <w:rsid w:val="00DB3906"/>
    <w:rsid w:val="00DB5367"/>
    <w:rsid w:val="00DB5821"/>
    <w:rsid w:val="00DC094A"/>
    <w:rsid w:val="00DC183A"/>
    <w:rsid w:val="00DC18C2"/>
    <w:rsid w:val="00DC269C"/>
    <w:rsid w:val="00DC38DE"/>
    <w:rsid w:val="00DC43B3"/>
    <w:rsid w:val="00DC4930"/>
    <w:rsid w:val="00DC5243"/>
    <w:rsid w:val="00DC656A"/>
    <w:rsid w:val="00DC739C"/>
    <w:rsid w:val="00DD1113"/>
    <w:rsid w:val="00DD32A3"/>
    <w:rsid w:val="00DD3FD8"/>
    <w:rsid w:val="00DD43F7"/>
    <w:rsid w:val="00DD5188"/>
    <w:rsid w:val="00DD51A5"/>
    <w:rsid w:val="00DD5363"/>
    <w:rsid w:val="00DD5BF8"/>
    <w:rsid w:val="00DD6CA7"/>
    <w:rsid w:val="00DE3EE4"/>
    <w:rsid w:val="00DE40E4"/>
    <w:rsid w:val="00DE4246"/>
    <w:rsid w:val="00DE47E9"/>
    <w:rsid w:val="00DE51D5"/>
    <w:rsid w:val="00DE5CB2"/>
    <w:rsid w:val="00DE6BF7"/>
    <w:rsid w:val="00DF01FC"/>
    <w:rsid w:val="00DF0635"/>
    <w:rsid w:val="00DF08FA"/>
    <w:rsid w:val="00DF1EFB"/>
    <w:rsid w:val="00DF2B01"/>
    <w:rsid w:val="00DF378E"/>
    <w:rsid w:val="00DF3970"/>
    <w:rsid w:val="00DF5F27"/>
    <w:rsid w:val="00DF629D"/>
    <w:rsid w:val="00DF6A86"/>
    <w:rsid w:val="00DF7871"/>
    <w:rsid w:val="00DF79C4"/>
    <w:rsid w:val="00DF7E6B"/>
    <w:rsid w:val="00E008B2"/>
    <w:rsid w:val="00E0166A"/>
    <w:rsid w:val="00E01A60"/>
    <w:rsid w:val="00E023E6"/>
    <w:rsid w:val="00E04D6E"/>
    <w:rsid w:val="00E04E0C"/>
    <w:rsid w:val="00E056AA"/>
    <w:rsid w:val="00E07EF6"/>
    <w:rsid w:val="00E107F2"/>
    <w:rsid w:val="00E10A6A"/>
    <w:rsid w:val="00E10DF9"/>
    <w:rsid w:val="00E1107A"/>
    <w:rsid w:val="00E11572"/>
    <w:rsid w:val="00E12280"/>
    <w:rsid w:val="00E127C7"/>
    <w:rsid w:val="00E12A84"/>
    <w:rsid w:val="00E136FE"/>
    <w:rsid w:val="00E1513A"/>
    <w:rsid w:val="00E15B9E"/>
    <w:rsid w:val="00E16543"/>
    <w:rsid w:val="00E16AAD"/>
    <w:rsid w:val="00E20462"/>
    <w:rsid w:val="00E20AFE"/>
    <w:rsid w:val="00E20EE2"/>
    <w:rsid w:val="00E214B8"/>
    <w:rsid w:val="00E23006"/>
    <w:rsid w:val="00E2368C"/>
    <w:rsid w:val="00E2404E"/>
    <w:rsid w:val="00E246CF"/>
    <w:rsid w:val="00E24E49"/>
    <w:rsid w:val="00E24EB8"/>
    <w:rsid w:val="00E2685D"/>
    <w:rsid w:val="00E30BAC"/>
    <w:rsid w:val="00E30F5C"/>
    <w:rsid w:val="00E31149"/>
    <w:rsid w:val="00E31F18"/>
    <w:rsid w:val="00E325D3"/>
    <w:rsid w:val="00E32CF5"/>
    <w:rsid w:val="00E33A38"/>
    <w:rsid w:val="00E33A4E"/>
    <w:rsid w:val="00E33CF1"/>
    <w:rsid w:val="00E34C95"/>
    <w:rsid w:val="00E34E20"/>
    <w:rsid w:val="00E35449"/>
    <w:rsid w:val="00E36066"/>
    <w:rsid w:val="00E3637E"/>
    <w:rsid w:val="00E36A9D"/>
    <w:rsid w:val="00E37A3D"/>
    <w:rsid w:val="00E407D1"/>
    <w:rsid w:val="00E40CCB"/>
    <w:rsid w:val="00E411B8"/>
    <w:rsid w:val="00E41802"/>
    <w:rsid w:val="00E41877"/>
    <w:rsid w:val="00E41A8A"/>
    <w:rsid w:val="00E42D74"/>
    <w:rsid w:val="00E43687"/>
    <w:rsid w:val="00E45635"/>
    <w:rsid w:val="00E47493"/>
    <w:rsid w:val="00E504A6"/>
    <w:rsid w:val="00E51171"/>
    <w:rsid w:val="00E51A0B"/>
    <w:rsid w:val="00E52204"/>
    <w:rsid w:val="00E5289D"/>
    <w:rsid w:val="00E53444"/>
    <w:rsid w:val="00E539B4"/>
    <w:rsid w:val="00E542FD"/>
    <w:rsid w:val="00E54791"/>
    <w:rsid w:val="00E54EF2"/>
    <w:rsid w:val="00E55005"/>
    <w:rsid w:val="00E5542C"/>
    <w:rsid w:val="00E55B05"/>
    <w:rsid w:val="00E56A06"/>
    <w:rsid w:val="00E57827"/>
    <w:rsid w:val="00E578D9"/>
    <w:rsid w:val="00E57D3C"/>
    <w:rsid w:val="00E618CD"/>
    <w:rsid w:val="00E61933"/>
    <w:rsid w:val="00E6197F"/>
    <w:rsid w:val="00E63219"/>
    <w:rsid w:val="00E64BCB"/>
    <w:rsid w:val="00E64D6F"/>
    <w:rsid w:val="00E656E5"/>
    <w:rsid w:val="00E65EC4"/>
    <w:rsid w:val="00E66371"/>
    <w:rsid w:val="00E66A76"/>
    <w:rsid w:val="00E66AC8"/>
    <w:rsid w:val="00E7007E"/>
    <w:rsid w:val="00E73313"/>
    <w:rsid w:val="00E738D9"/>
    <w:rsid w:val="00E74794"/>
    <w:rsid w:val="00E74920"/>
    <w:rsid w:val="00E7705D"/>
    <w:rsid w:val="00E80667"/>
    <w:rsid w:val="00E80697"/>
    <w:rsid w:val="00E8094F"/>
    <w:rsid w:val="00E80DB4"/>
    <w:rsid w:val="00E81EF1"/>
    <w:rsid w:val="00E82BBB"/>
    <w:rsid w:val="00E82D35"/>
    <w:rsid w:val="00E82EBD"/>
    <w:rsid w:val="00E84E97"/>
    <w:rsid w:val="00E8627E"/>
    <w:rsid w:val="00E878D3"/>
    <w:rsid w:val="00E90025"/>
    <w:rsid w:val="00E90844"/>
    <w:rsid w:val="00E9123D"/>
    <w:rsid w:val="00E92D31"/>
    <w:rsid w:val="00E9417E"/>
    <w:rsid w:val="00EA0016"/>
    <w:rsid w:val="00EA0F4B"/>
    <w:rsid w:val="00EA11CA"/>
    <w:rsid w:val="00EA12C5"/>
    <w:rsid w:val="00EA2B0D"/>
    <w:rsid w:val="00EA33C2"/>
    <w:rsid w:val="00EA44E6"/>
    <w:rsid w:val="00EA5669"/>
    <w:rsid w:val="00EA7919"/>
    <w:rsid w:val="00EB066E"/>
    <w:rsid w:val="00EB0796"/>
    <w:rsid w:val="00EB332B"/>
    <w:rsid w:val="00EB3F4C"/>
    <w:rsid w:val="00EB4228"/>
    <w:rsid w:val="00EB42B1"/>
    <w:rsid w:val="00EB490F"/>
    <w:rsid w:val="00EB4942"/>
    <w:rsid w:val="00EB5F23"/>
    <w:rsid w:val="00EB60B2"/>
    <w:rsid w:val="00EB668F"/>
    <w:rsid w:val="00EB7224"/>
    <w:rsid w:val="00EB7DC7"/>
    <w:rsid w:val="00EC1897"/>
    <w:rsid w:val="00EC2D36"/>
    <w:rsid w:val="00EC3749"/>
    <w:rsid w:val="00EC38A7"/>
    <w:rsid w:val="00EC42D4"/>
    <w:rsid w:val="00EC4A49"/>
    <w:rsid w:val="00EC4A61"/>
    <w:rsid w:val="00EC4B03"/>
    <w:rsid w:val="00EC523C"/>
    <w:rsid w:val="00EC5B08"/>
    <w:rsid w:val="00EC5D2F"/>
    <w:rsid w:val="00EC7833"/>
    <w:rsid w:val="00EC7BF1"/>
    <w:rsid w:val="00EC7D8F"/>
    <w:rsid w:val="00ED1289"/>
    <w:rsid w:val="00ED2668"/>
    <w:rsid w:val="00ED38FF"/>
    <w:rsid w:val="00ED7069"/>
    <w:rsid w:val="00ED75F1"/>
    <w:rsid w:val="00EE03C7"/>
    <w:rsid w:val="00EE2E33"/>
    <w:rsid w:val="00EE466F"/>
    <w:rsid w:val="00EE46C2"/>
    <w:rsid w:val="00EE635A"/>
    <w:rsid w:val="00EE6517"/>
    <w:rsid w:val="00EE7AE3"/>
    <w:rsid w:val="00EF1144"/>
    <w:rsid w:val="00EF17D8"/>
    <w:rsid w:val="00EF205D"/>
    <w:rsid w:val="00EF2F45"/>
    <w:rsid w:val="00EF3324"/>
    <w:rsid w:val="00EF5452"/>
    <w:rsid w:val="00EF5D5B"/>
    <w:rsid w:val="00EF5EC1"/>
    <w:rsid w:val="00EF6433"/>
    <w:rsid w:val="00EF6499"/>
    <w:rsid w:val="00EF716F"/>
    <w:rsid w:val="00F00720"/>
    <w:rsid w:val="00F00CA7"/>
    <w:rsid w:val="00F01890"/>
    <w:rsid w:val="00F020C6"/>
    <w:rsid w:val="00F029BC"/>
    <w:rsid w:val="00F03098"/>
    <w:rsid w:val="00F0317F"/>
    <w:rsid w:val="00F03522"/>
    <w:rsid w:val="00F05601"/>
    <w:rsid w:val="00F05870"/>
    <w:rsid w:val="00F0606B"/>
    <w:rsid w:val="00F06BEE"/>
    <w:rsid w:val="00F06E16"/>
    <w:rsid w:val="00F07017"/>
    <w:rsid w:val="00F079D2"/>
    <w:rsid w:val="00F1310C"/>
    <w:rsid w:val="00F138D2"/>
    <w:rsid w:val="00F139E5"/>
    <w:rsid w:val="00F14BEE"/>
    <w:rsid w:val="00F154F7"/>
    <w:rsid w:val="00F16265"/>
    <w:rsid w:val="00F1675A"/>
    <w:rsid w:val="00F175F1"/>
    <w:rsid w:val="00F21F5B"/>
    <w:rsid w:val="00F232FA"/>
    <w:rsid w:val="00F249D3"/>
    <w:rsid w:val="00F25623"/>
    <w:rsid w:val="00F27204"/>
    <w:rsid w:val="00F27D56"/>
    <w:rsid w:val="00F30A49"/>
    <w:rsid w:val="00F32344"/>
    <w:rsid w:val="00F32804"/>
    <w:rsid w:val="00F3349B"/>
    <w:rsid w:val="00F3391C"/>
    <w:rsid w:val="00F33CA5"/>
    <w:rsid w:val="00F34141"/>
    <w:rsid w:val="00F348F4"/>
    <w:rsid w:val="00F35677"/>
    <w:rsid w:val="00F37057"/>
    <w:rsid w:val="00F4061F"/>
    <w:rsid w:val="00F41142"/>
    <w:rsid w:val="00F41E4A"/>
    <w:rsid w:val="00F41ECC"/>
    <w:rsid w:val="00F4241E"/>
    <w:rsid w:val="00F426E2"/>
    <w:rsid w:val="00F42882"/>
    <w:rsid w:val="00F429F8"/>
    <w:rsid w:val="00F42D5B"/>
    <w:rsid w:val="00F42E9C"/>
    <w:rsid w:val="00F42F55"/>
    <w:rsid w:val="00F44DDC"/>
    <w:rsid w:val="00F47248"/>
    <w:rsid w:val="00F50899"/>
    <w:rsid w:val="00F519C9"/>
    <w:rsid w:val="00F52229"/>
    <w:rsid w:val="00F525DF"/>
    <w:rsid w:val="00F5379D"/>
    <w:rsid w:val="00F53AD9"/>
    <w:rsid w:val="00F54BF0"/>
    <w:rsid w:val="00F55692"/>
    <w:rsid w:val="00F55E80"/>
    <w:rsid w:val="00F563A7"/>
    <w:rsid w:val="00F56776"/>
    <w:rsid w:val="00F56871"/>
    <w:rsid w:val="00F56DAE"/>
    <w:rsid w:val="00F56DC1"/>
    <w:rsid w:val="00F571A8"/>
    <w:rsid w:val="00F57E55"/>
    <w:rsid w:val="00F61265"/>
    <w:rsid w:val="00F61EE4"/>
    <w:rsid w:val="00F629A5"/>
    <w:rsid w:val="00F63990"/>
    <w:rsid w:val="00F63C82"/>
    <w:rsid w:val="00F6537F"/>
    <w:rsid w:val="00F66050"/>
    <w:rsid w:val="00F6605B"/>
    <w:rsid w:val="00F661A8"/>
    <w:rsid w:val="00F67A9D"/>
    <w:rsid w:val="00F7001C"/>
    <w:rsid w:val="00F70262"/>
    <w:rsid w:val="00F715C7"/>
    <w:rsid w:val="00F71BA9"/>
    <w:rsid w:val="00F72413"/>
    <w:rsid w:val="00F72504"/>
    <w:rsid w:val="00F72985"/>
    <w:rsid w:val="00F72DA3"/>
    <w:rsid w:val="00F73AC5"/>
    <w:rsid w:val="00F73FF5"/>
    <w:rsid w:val="00F741C2"/>
    <w:rsid w:val="00F74C88"/>
    <w:rsid w:val="00F7524F"/>
    <w:rsid w:val="00F75B42"/>
    <w:rsid w:val="00F75EA1"/>
    <w:rsid w:val="00F7646C"/>
    <w:rsid w:val="00F76B77"/>
    <w:rsid w:val="00F76F6E"/>
    <w:rsid w:val="00F77794"/>
    <w:rsid w:val="00F8007C"/>
    <w:rsid w:val="00F800B4"/>
    <w:rsid w:val="00F80278"/>
    <w:rsid w:val="00F8311B"/>
    <w:rsid w:val="00F83712"/>
    <w:rsid w:val="00F83EEE"/>
    <w:rsid w:val="00F85178"/>
    <w:rsid w:val="00F866D7"/>
    <w:rsid w:val="00F86F8C"/>
    <w:rsid w:val="00F8739D"/>
    <w:rsid w:val="00F924C9"/>
    <w:rsid w:val="00F9347E"/>
    <w:rsid w:val="00F95559"/>
    <w:rsid w:val="00F97172"/>
    <w:rsid w:val="00F97A26"/>
    <w:rsid w:val="00F97EBA"/>
    <w:rsid w:val="00FA01B5"/>
    <w:rsid w:val="00FA1337"/>
    <w:rsid w:val="00FA1C1E"/>
    <w:rsid w:val="00FA1DE0"/>
    <w:rsid w:val="00FA2399"/>
    <w:rsid w:val="00FA285A"/>
    <w:rsid w:val="00FA34C1"/>
    <w:rsid w:val="00FA39EC"/>
    <w:rsid w:val="00FA4D4E"/>
    <w:rsid w:val="00FA6C6B"/>
    <w:rsid w:val="00FB03CF"/>
    <w:rsid w:val="00FB19EF"/>
    <w:rsid w:val="00FB2E24"/>
    <w:rsid w:val="00FB3B3F"/>
    <w:rsid w:val="00FB523A"/>
    <w:rsid w:val="00FB5BC7"/>
    <w:rsid w:val="00FB5F85"/>
    <w:rsid w:val="00FB634C"/>
    <w:rsid w:val="00FB63BE"/>
    <w:rsid w:val="00FB6DD4"/>
    <w:rsid w:val="00FC1049"/>
    <w:rsid w:val="00FC1185"/>
    <w:rsid w:val="00FC1305"/>
    <w:rsid w:val="00FC15C9"/>
    <w:rsid w:val="00FC170F"/>
    <w:rsid w:val="00FC1FD5"/>
    <w:rsid w:val="00FC3D3B"/>
    <w:rsid w:val="00FC5683"/>
    <w:rsid w:val="00FC57D5"/>
    <w:rsid w:val="00FC78CB"/>
    <w:rsid w:val="00FD0A89"/>
    <w:rsid w:val="00FD0B33"/>
    <w:rsid w:val="00FD0D69"/>
    <w:rsid w:val="00FD19E1"/>
    <w:rsid w:val="00FD447F"/>
    <w:rsid w:val="00FD48AC"/>
    <w:rsid w:val="00FD4EA1"/>
    <w:rsid w:val="00FD57A0"/>
    <w:rsid w:val="00FD5D11"/>
    <w:rsid w:val="00FD6712"/>
    <w:rsid w:val="00FD694A"/>
    <w:rsid w:val="00FD6DB5"/>
    <w:rsid w:val="00FD6E69"/>
    <w:rsid w:val="00FD75CE"/>
    <w:rsid w:val="00FE0CB3"/>
    <w:rsid w:val="00FE0F95"/>
    <w:rsid w:val="00FE2A2A"/>
    <w:rsid w:val="00FE318C"/>
    <w:rsid w:val="00FE54E5"/>
    <w:rsid w:val="00FE56E4"/>
    <w:rsid w:val="00FE6281"/>
    <w:rsid w:val="00FE62F6"/>
    <w:rsid w:val="00FE7E2A"/>
    <w:rsid w:val="00FF067E"/>
    <w:rsid w:val="00FF08E1"/>
    <w:rsid w:val="00FF0A42"/>
    <w:rsid w:val="00FF0CF9"/>
    <w:rsid w:val="00FF11AC"/>
    <w:rsid w:val="00FF167C"/>
    <w:rsid w:val="00FF20DA"/>
    <w:rsid w:val="00FF21B6"/>
    <w:rsid w:val="00FF7A88"/>
    <w:rsid w:val="00FF7F37"/>
    <w:rsid w:val="018111CC"/>
    <w:rsid w:val="019D09D1"/>
    <w:rsid w:val="01BB4CF6"/>
    <w:rsid w:val="01DE715D"/>
    <w:rsid w:val="02BD22DD"/>
    <w:rsid w:val="02DA4D87"/>
    <w:rsid w:val="033B64C6"/>
    <w:rsid w:val="03645CBC"/>
    <w:rsid w:val="03823F46"/>
    <w:rsid w:val="043978F0"/>
    <w:rsid w:val="04ED5D5E"/>
    <w:rsid w:val="058A2B1E"/>
    <w:rsid w:val="06264856"/>
    <w:rsid w:val="06E04189"/>
    <w:rsid w:val="073B1BBF"/>
    <w:rsid w:val="085032D7"/>
    <w:rsid w:val="096279C7"/>
    <w:rsid w:val="09C15818"/>
    <w:rsid w:val="0A695931"/>
    <w:rsid w:val="0B410977"/>
    <w:rsid w:val="0B713B49"/>
    <w:rsid w:val="0BBB1F94"/>
    <w:rsid w:val="0C2C30DB"/>
    <w:rsid w:val="0CCA26DF"/>
    <w:rsid w:val="0DC64170"/>
    <w:rsid w:val="0E631143"/>
    <w:rsid w:val="0EDD6B5D"/>
    <w:rsid w:val="0F5F6B24"/>
    <w:rsid w:val="11373115"/>
    <w:rsid w:val="12113658"/>
    <w:rsid w:val="1213060F"/>
    <w:rsid w:val="134D33B5"/>
    <w:rsid w:val="13946970"/>
    <w:rsid w:val="139D01E6"/>
    <w:rsid w:val="139E42DF"/>
    <w:rsid w:val="142E4E54"/>
    <w:rsid w:val="16513F18"/>
    <w:rsid w:val="16EE09E8"/>
    <w:rsid w:val="171037CE"/>
    <w:rsid w:val="17AA3417"/>
    <w:rsid w:val="186E6972"/>
    <w:rsid w:val="18D309DC"/>
    <w:rsid w:val="18EA7E8B"/>
    <w:rsid w:val="191F19B7"/>
    <w:rsid w:val="194574F0"/>
    <w:rsid w:val="194805CC"/>
    <w:rsid w:val="19C05EDE"/>
    <w:rsid w:val="1B5B61FA"/>
    <w:rsid w:val="1C8415A4"/>
    <w:rsid w:val="1CC85BAA"/>
    <w:rsid w:val="1DB56DF0"/>
    <w:rsid w:val="1E316B23"/>
    <w:rsid w:val="1F1C35F8"/>
    <w:rsid w:val="206B11DC"/>
    <w:rsid w:val="210F7E09"/>
    <w:rsid w:val="21BB15E6"/>
    <w:rsid w:val="21D06F27"/>
    <w:rsid w:val="23A24BC4"/>
    <w:rsid w:val="240D51D7"/>
    <w:rsid w:val="254B1347"/>
    <w:rsid w:val="25EA5A00"/>
    <w:rsid w:val="260E572C"/>
    <w:rsid w:val="262470F5"/>
    <w:rsid w:val="266E6117"/>
    <w:rsid w:val="277B638E"/>
    <w:rsid w:val="27FE21D0"/>
    <w:rsid w:val="286877F7"/>
    <w:rsid w:val="29267A75"/>
    <w:rsid w:val="296A0A10"/>
    <w:rsid w:val="29A1348A"/>
    <w:rsid w:val="2A2731EF"/>
    <w:rsid w:val="2BB6328A"/>
    <w:rsid w:val="2C305CE3"/>
    <w:rsid w:val="2D421BE9"/>
    <w:rsid w:val="2D6F4B12"/>
    <w:rsid w:val="2E3318A9"/>
    <w:rsid w:val="2E434D75"/>
    <w:rsid w:val="2E44734A"/>
    <w:rsid w:val="2E995BA4"/>
    <w:rsid w:val="2ECA4E4D"/>
    <w:rsid w:val="2EED5313"/>
    <w:rsid w:val="2F550B33"/>
    <w:rsid w:val="2F7E49C6"/>
    <w:rsid w:val="2F840962"/>
    <w:rsid w:val="301D672E"/>
    <w:rsid w:val="30A46D30"/>
    <w:rsid w:val="30D27B3E"/>
    <w:rsid w:val="315350DF"/>
    <w:rsid w:val="31AF369B"/>
    <w:rsid w:val="325C4D59"/>
    <w:rsid w:val="32D13D7B"/>
    <w:rsid w:val="33297F3F"/>
    <w:rsid w:val="33701D29"/>
    <w:rsid w:val="33754F8F"/>
    <w:rsid w:val="33757729"/>
    <w:rsid w:val="33CB3F05"/>
    <w:rsid w:val="33E24B1A"/>
    <w:rsid w:val="34B4178D"/>
    <w:rsid w:val="34C765BD"/>
    <w:rsid w:val="35D77684"/>
    <w:rsid w:val="360D00BC"/>
    <w:rsid w:val="36C7786B"/>
    <w:rsid w:val="371864C8"/>
    <w:rsid w:val="38945C5F"/>
    <w:rsid w:val="3A5440AD"/>
    <w:rsid w:val="3C531AF3"/>
    <w:rsid w:val="3D335A11"/>
    <w:rsid w:val="3D3513BC"/>
    <w:rsid w:val="3F32577D"/>
    <w:rsid w:val="3FBD4357"/>
    <w:rsid w:val="400B4830"/>
    <w:rsid w:val="40245D78"/>
    <w:rsid w:val="40E37BB5"/>
    <w:rsid w:val="41DE5E59"/>
    <w:rsid w:val="41E70CD9"/>
    <w:rsid w:val="42E80303"/>
    <w:rsid w:val="43090ED0"/>
    <w:rsid w:val="43500DC7"/>
    <w:rsid w:val="43754FA5"/>
    <w:rsid w:val="43A6766E"/>
    <w:rsid w:val="43A75D6A"/>
    <w:rsid w:val="44817C92"/>
    <w:rsid w:val="44C633BD"/>
    <w:rsid w:val="44F6624B"/>
    <w:rsid w:val="462272CB"/>
    <w:rsid w:val="47131125"/>
    <w:rsid w:val="47387410"/>
    <w:rsid w:val="47800C50"/>
    <w:rsid w:val="47A90647"/>
    <w:rsid w:val="47E30FC2"/>
    <w:rsid w:val="488E78AC"/>
    <w:rsid w:val="49953031"/>
    <w:rsid w:val="4B2351C6"/>
    <w:rsid w:val="4B2D736D"/>
    <w:rsid w:val="4B6A636F"/>
    <w:rsid w:val="4BE75B3E"/>
    <w:rsid w:val="4BF207E8"/>
    <w:rsid w:val="4BF4241B"/>
    <w:rsid w:val="4D914EED"/>
    <w:rsid w:val="4DC6000B"/>
    <w:rsid w:val="4E0A0F22"/>
    <w:rsid w:val="4E531F68"/>
    <w:rsid w:val="4F204F91"/>
    <w:rsid w:val="4F4B23B5"/>
    <w:rsid w:val="4FBB09E5"/>
    <w:rsid w:val="50DA3C3D"/>
    <w:rsid w:val="50E72668"/>
    <w:rsid w:val="50F466B2"/>
    <w:rsid w:val="51F26D11"/>
    <w:rsid w:val="52905791"/>
    <w:rsid w:val="52C31775"/>
    <w:rsid w:val="52DA73D0"/>
    <w:rsid w:val="52DB380C"/>
    <w:rsid w:val="537901C6"/>
    <w:rsid w:val="53C72BA5"/>
    <w:rsid w:val="540E59D0"/>
    <w:rsid w:val="54621E7D"/>
    <w:rsid w:val="54E078ED"/>
    <w:rsid w:val="55CA3F02"/>
    <w:rsid w:val="55DC19FF"/>
    <w:rsid w:val="561E3D8F"/>
    <w:rsid w:val="56673C7B"/>
    <w:rsid w:val="56CD4C5A"/>
    <w:rsid w:val="57786464"/>
    <w:rsid w:val="57FA098A"/>
    <w:rsid w:val="580406FF"/>
    <w:rsid w:val="59477EA9"/>
    <w:rsid w:val="59F61E36"/>
    <w:rsid w:val="5A98140F"/>
    <w:rsid w:val="5B5175C9"/>
    <w:rsid w:val="5B8B20D7"/>
    <w:rsid w:val="5C0D1E70"/>
    <w:rsid w:val="5C405A31"/>
    <w:rsid w:val="5C410FB2"/>
    <w:rsid w:val="5C6E11D1"/>
    <w:rsid w:val="5DCB09AC"/>
    <w:rsid w:val="5DE302F3"/>
    <w:rsid w:val="5EE44C44"/>
    <w:rsid w:val="5F6B6A8D"/>
    <w:rsid w:val="6021115F"/>
    <w:rsid w:val="602B45D4"/>
    <w:rsid w:val="606D2E3E"/>
    <w:rsid w:val="612C03D0"/>
    <w:rsid w:val="61382E6E"/>
    <w:rsid w:val="61F138D0"/>
    <w:rsid w:val="62BE38A3"/>
    <w:rsid w:val="632501A7"/>
    <w:rsid w:val="64543026"/>
    <w:rsid w:val="64914D37"/>
    <w:rsid w:val="651629F2"/>
    <w:rsid w:val="65F30C05"/>
    <w:rsid w:val="662905B8"/>
    <w:rsid w:val="667C3918"/>
    <w:rsid w:val="668D76DA"/>
    <w:rsid w:val="66986FD6"/>
    <w:rsid w:val="673D5497"/>
    <w:rsid w:val="67A402A2"/>
    <w:rsid w:val="69D6046E"/>
    <w:rsid w:val="6A241D1B"/>
    <w:rsid w:val="6A2712F0"/>
    <w:rsid w:val="6A577CE6"/>
    <w:rsid w:val="6A675826"/>
    <w:rsid w:val="6A857B4C"/>
    <w:rsid w:val="6A992C50"/>
    <w:rsid w:val="6B182E9A"/>
    <w:rsid w:val="6B5648D3"/>
    <w:rsid w:val="6C833C48"/>
    <w:rsid w:val="6C9D52E4"/>
    <w:rsid w:val="6D6E3FFA"/>
    <w:rsid w:val="6E023521"/>
    <w:rsid w:val="6E9D3508"/>
    <w:rsid w:val="6F462EC7"/>
    <w:rsid w:val="6F5A765A"/>
    <w:rsid w:val="706D06B2"/>
    <w:rsid w:val="709201F8"/>
    <w:rsid w:val="7294582E"/>
    <w:rsid w:val="72F7163B"/>
    <w:rsid w:val="73111EAC"/>
    <w:rsid w:val="73266182"/>
    <w:rsid w:val="73521310"/>
    <w:rsid w:val="73725FC2"/>
    <w:rsid w:val="747D23EE"/>
    <w:rsid w:val="759619D3"/>
    <w:rsid w:val="767B78E9"/>
    <w:rsid w:val="778920B9"/>
    <w:rsid w:val="77927F8B"/>
    <w:rsid w:val="77C463FC"/>
    <w:rsid w:val="786E66ED"/>
    <w:rsid w:val="78B605E3"/>
    <w:rsid w:val="79C805FD"/>
    <w:rsid w:val="79E377BF"/>
    <w:rsid w:val="7B432E17"/>
    <w:rsid w:val="7B5932E1"/>
    <w:rsid w:val="7B7F2F82"/>
    <w:rsid w:val="7BEC4545"/>
    <w:rsid w:val="7D630289"/>
    <w:rsid w:val="7DBC2BB1"/>
    <w:rsid w:val="7E443678"/>
    <w:rsid w:val="7F1A2173"/>
    <w:rsid w:val="7F4F01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4"/>
      <w:szCs w:val="22"/>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link w:val="31"/>
    <w:unhideWhenUsed/>
    <w:qFormat/>
    <w:uiPriority w:val="99"/>
    <w:pPr>
      <w:keepNext/>
      <w:keepLines/>
      <w:spacing w:beforeLines="50" w:afterLines="50" w:line="440" w:lineRule="exact"/>
      <w:outlineLvl w:val="2"/>
    </w:pPr>
    <w:rPr>
      <w:rFonts w:eastAsia="宋体" w:cs="Times New Roman"/>
      <w:b/>
      <w:bCs/>
      <w:sz w:val="28"/>
      <w:szCs w:val="32"/>
    </w:rPr>
  </w:style>
  <w:style w:type="paragraph" w:styleId="5">
    <w:name w:val="heading 4"/>
    <w:basedOn w:val="1"/>
    <w:next w:val="1"/>
    <w:link w:val="32"/>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6"/>
    <w:basedOn w:val="1"/>
    <w:next w:val="1"/>
    <w:link w:val="33"/>
    <w:semiHidden/>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paragraph" w:styleId="7">
    <w:name w:val="heading 9"/>
    <w:basedOn w:val="1"/>
    <w:next w:val="1"/>
    <w:link w:val="34"/>
    <w:semiHidden/>
    <w:unhideWhenUsed/>
    <w:qFormat/>
    <w:uiPriority w:val="9"/>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8">
    <w:name w:val="toc 7"/>
    <w:basedOn w:val="1"/>
    <w:next w:val="1"/>
    <w:unhideWhenUsed/>
    <w:qFormat/>
    <w:uiPriority w:val="39"/>
    <w:pPr>
      <w:ind w:left="2520" w:leftChars="1200"/>
    </w:pPr>
    <w:rPr>
      <w:rFonts w:asciiTheme="minorHAnsi" w:hAnsiTheme="minorHAnsi"/>
      <w:sz w:val="21"/>
    </w:rPr>
  </w:style>
  <w:style w:type="paragraph" w:styleId="9">
    <w:name w:val="Document Map"/>
    <w:basedOn w:val="1"/>
    <w:link w:val="45"/>
    <w:unhideWhenUsed/>
    <w:qFormat/>
    <w:uiPriority w:val="99"/>
    <w:rPr>
      <w:rFonts w:ascii="宋体" w:eastAsia="宋体"/>
      <w:sz w:val="18"/>
      <w:szCs w:val="18"/>
    </w:rPr>
  </w:style>
  <w:style w:type="paragraph" w:styleId="10">
    <w:name w:val="Body Text Indent"/>
    <w:basedOn w:val="1"/>
    <w:qFormat/>
    <w:uiPriority w:val="0"/>
    <w:pPr>
      <w:spacing w:line="440" w:lineRule="exact"/>
      <w:ind w:firstLine="560" w:firstLineChars="200"/>
    </w:pPr>
    <w:rPr>
      <w:sz w:val="28"/>
    </w:rPr>
  </w:style>
  <w:style w:type="paragraph" w:styleId="11">
    <w:name w:val="toc 5"/>
    <w:basedOn w:val="1"/>
    <w:next w:val="1"/>
    <w:unhideWhenUsed/>
    <w:qFormat/>
    <w:uiPriority w:val="39"/>
    <w:pPr>
      <w:ind w:left="1680" w:leftChars="800"/>
    </w:pPr>
    <w:rPr>
      <w:rFonts w:asciiTheme="minorHAnsi" w:hAnsiTheme="minorHAnsi"/>
      <w:sz w:val="21"/>
    </w:rPr>
  </w:style>
  <w:style w:type="paragraph" w:styleId="12">
    <w:name w:val="toc 3"/>
    <w:basedOn w:val="1"/>
    <w:next w:val="1"/>
    <w:unhideWhenUsed/>
    <w:qFormat/>
    <w:uiPriority w:val="39"/>
    <w:pPr>
      <w:tabs>
        <w:tab w:val="right" w:leader="dot" w:pos="8880"/>
      </w:tabs>
      <w:spacing w:line="500" w:lineRule="exact"/>
      <w:ind w:firstLine="400" w:firstLineChars="400"/>
    </w:pPr>
  </w:style>
  <w:style w:type="paragraph" w:styleId="13">
    <w:name w:val="Plain Text"/>
    <w:basedOn w:val="1"/>
    <w:qFormat/>
    <w:uiPriority w:val="0"/>
    <w:rPr>
      <w:rFonts w:ascii="宋体" w:hAnsi="Courier New"/>
      <w:sz w:val="24"/>
      <w:szCs w:val="20"/>
    </w:rPr>
  </w:style>
  <w:style w:type="paragraph" w:styleId="14">
    <w:name w:val="toc 8"/>
    <w:basedOn w:val="1"/>
    <w:next w:val="1"/>
    <w:unhideWhenUsed/>
    <w:qFormat/>
    <w:uiPriority w:val="39"/>
    <w:pPr>
      <w:ind w:left="2940" w:leftChars="1400"/>
    </w:pPr>
    <w:rPr>
      <w:rFonts w:asciiTheme="minorHAnsi" w:hAnsiTheme="minorHAnsi"/>
      <w:sz w:val="21"/>
    </w:rPr>
  </w:style>
  <w:style w:type="paragraph" w:styleId="15">
    <w:name w:val="Balloon Text"/>
    <w:basedOn w:val="1"/>
    <w:link w:val="52"/>
    <w:semiHidden/>
    <w:unhideWhenUsed/>
    <w:qFormat/>
    <w:uiPriority w:val="99"/>
    <w:rPr>
      <w:sz w:val="18"/>
      <w:szCs w:val="18"/>
    </w:rPr>
  </w:style>
  <w:style w:type="paragraph" w:styleId="16">
    <w:name w:val="footer"/>
    <w:basedOn w:val="1"/>
    <w:link w:val="46"/>
    <w:unhideWhenUsed/>
    <w:qFormat/>
    <w:uiPriority w:val="99"/>
    <w:pPr>
      <w:tabs>
        <w:tab w:val="center" w:pos="4153"/>
        <w:tab w:val="right" w:pos="8306"/>
      </w:tabs>
      <w:snapToGrid w:val="0"/>
      <w:jc w:val="left"/>
    </w:pPr>
    <w:rPr>
      <w:sz w:val="18"/>
      <w:szCs w:val="18"/>
    </w:rPr>
  </w:style>
  <w:style w:type="paragraph" w:styleId="17">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right" w:leader="dot" w:pos="8880"/>
      </w:tabs>
      <w:spacing w:line="500" w:lineRule="exact"/>
    </w:pPr>
    <w:rPr>
      <w:rFonts w:eastAsia="黑体"/>
      <w:b/>
      <w:sz w:val="30"/>
      <w:szCs w:val="30"/>
    </w:rPr>
  </w:style>
  <w:style w:type="paragraph" w:styleId="19">
    <w:name w:val="toc 4"/>
    <w:basedOn w:val="1"/>
    <w:next w:val="1"/>
    <w:unhideWhenUsed/>
    <w:qFormat/>
    <w:uiPriority w:val="39"/>
    <w:pPr>
      <w:ind w:left="1260" w:leftChars="600"/>
    </w:pPr>
    <w:rPr>
      <w:rFonts w:asciiTheme="minorHAnsi" w:hAnsiTheme="minorHAnsi"/>
      <w:sz w:val="21"/>
    </w:rPr>
  </w:style>
  <w:style w:type="paragraph" w:styleId="20">
    <w:name w:val="toc 6"/>
    <w:basedOn w:val="1"/>
    <w:next w:val="1"/>
    <w:unhideWhenUsed/>
    <w:qFormat/>
    <w:uiPriority w:val="39"/>
    <w:pPr>
      <w:ind w:left="2100" w:leftChars="1000"/>
    </w:pPr>
    <w:rPr>
      <w:rFonts w:asciiTheme="minorHAnsi" w:hAnsiTheme="minorHAnsi"/>
      <w:sz w:val="21"/>
    </w:rPr>
  </w:style>
  <w:style w:type="paragraph" w:styleId="21">
    <w:name w:val="toc 2"/>
    <w:basedOn w:val="1"/>
    <w:next w:val="1"/>
    <w:unhideWhenUsed/>
    <w:qFormat/>
    <w:uiPriority w:val="39"/>
    <w:pPr>
      <w:tabs>
        <w:tab w:val="right" w:leader="dot" w:pos="8880"/>
      </w:tabs>
      <w:spacing w:line="500" w:lineRule="exact"/>
      <w:ind w:firstLine="200" w:firstLineChars="200"/>
    </w:pPr>
    <w:rPr>
      <w:b/>
    </w:rPr>
  </w:style>
  <w:style w:type="paragraph" w:styleId="22">
    <w:name w:val="toc 9"/>
    <w:basedOn w:val="1"/>
    <w:next w:val="1"/>
    <w:unhideWhenUsed/>
    <w:qFormat/>
    <w:uiPriority w:val="39"/>
    <w:pPr>
      <w:ind w:left="3360" w:leftChars="1600"/>
    </w:pPr>
    <w:rPr>
      <w:rFonts w:asciiTheme="minorHAnsi" w:hAnsiTheme="minorHAnsi"/>
      <w:sz w:val="21"/>
    </w:rPr>
  </w:style>
  <w:style w:type="paragraph" w:styleId="23">
    <w:name w:val="Body Text First Indent 2"/>
    <w:basedOn w:val="10"/>
    <w:next w:val="1"/>
    <w:qFormat/>
    <w:uiPriority w:val="0"/>
    <w:pPr>
      <w:spacing w:line="360" w:lineRule="auto"/>
      <w:ind w:firstLine="420" w:firstLineChars="200"/>
      <w:jc w:val="left"/>
    </w:pPr>
    <w:rPr>
      <w:rFonts w:hAnsi="Times New Roman" w:eastAsia="宋体"/>
      <w:kern w:val="2"/>
      <w:szCs w:val="24"/>
    </w:rPr>
  </w:style>
  <w:style w:type="table" w:styleId="25">
    <w:name w:val="Table Grid"/>
    <w:basedOn w:val="2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FollowedHyperlink"/>
    <w:basedOn w:val="26"/>
    <w:semiHidden/>
    <w:unhideWhenUsed/>
    <w:qFormat/>
    <w:uiPriority w:val="99"/>
    <w:rPr>
      <w:color w:val="800080"/>
      <w:u w:val="single"/>
    </w:rPr>
  </w:style>
  <w:style w:type="character" w:styleId="29">
    <w:name w:val="HTML Acronym"/>
    <w:basedOn w:val="26"/>
    <w:qFormat/>
    <w:uiPriority w:val="0"/>
  </w:style>
  <w:style w:type="character" w:styleId="30">
    <w:name w:val="Hyperlink"/>
    <w:basedOn w:val="26"/>
    <w:unhideWhenUsed/>
    <w:qFormat/>
    <w:uiPriority w:val="99"/>
    <w:rPr>
      <w:color w:val="0000FF" w:themeColor="hyperlink"/>
      <w:u w:val="single"/>
    </w:rPr>
  </w:style>
  <w:style w:type="character" w:customStyle="1" w:styleId="31">
    <w:name w:val="标题 3 Char"/>
    <w:basedOn w:val="26"/>
    <w:link w:val="4"/>
    <w:qFormat/>
    <w:uiPriority w:val="99"/>
    <w:rPr>
      <w:rFonts w:ascii="Times New Roman" w:hAnsi="Times New Roman" w:eastAsia="宋体" w:cs="Times New Roman"/>
      <w:b/>
      <w:bCs/>
      <w:sz w:val="28"/>
      <w:szCs w:val="32"/>
    </w:rPr>
  </w:style>
  <w:style w:type="character" w:customStyle="1" w:styleId="32">
    <w:name w:val="标题 4 Char"/>
    <w:basedOn w:val="26"/>
    <w:link w:val="5"/>
    <w:qFormat/>
    <w:uiPriority w:val="0"/>
    <w:rPr>
      <w:rFonts w:asciiTheme="majorHAnsi" w:hAnsiTheme="majorHAnsi" w:eastAsiaTheme="majorEastAsia" w:cstheme="majorBidi"/>
      <w:b/>
      <w:bCs/>
      <w:sz w:val="28"/>
      <w:szCs w:val="28"/>
    </w:rPr>
  </w:style>
  <w:style w:type="character" w:customStyle="1" w:styleId="33">
    <w:name w:val="标题 6 Char"/>
    <w:basedOn w:val="26"/>
    <w:link w:val="6"/>
    <w:qFormat/>
    <w:uiPriority w:val="0"/>
    <w:rPr>
      <w:rFonts w:asciiTheme="majorHAnsi" w:hAnsiTheme="majorHAnsi" w:eastAsiaTheme="majorEastAsia" w:cstheme="majorBidi"/>
      <w:b/>
      <w:bCs/>
      <w:sz w:val="24"/>
      <w:szCs w:val="24"/>
    </w:rPr>
  </w:style>
  <w:style w:type="character" w:customStyle="1" w:styleId="34">
    <w:name w:val="标题 9 Char"/>
    <w:basedOn w:val="26"/>
    <w:link w:val="7"/>
    <w:qFormat/>
    <w:uiPriority w:val="0"/>
    <w:rPr>
      <w:rFonts w:asciiTheme="majorHAnsi" w:hAnsiTheme="majorHAnsi" w:eastAsiaTheme="majorEastAsia" w:cstheme="majorBidi"/>
      <w:szCs w:val="21"/>
    </w:rPr>
  </w:style>
  <w:style w:type="paragraph" w:customStyle="1" w:styleId="35">
    <w:name w:val="DTX-03"/>
    <w:link w:val="36"/>
    <w:qFormat/>
    <w:uiPriority w:val="0"/>
    <w:pPr>
      <w:keepNext/>
      <w:widowControl w:val="0"/>
      <w:adjustRightInd w:val="0"/>
      <w:snapToGrid w:val="0"/>
      <w:spacing w:line="500" w:lineRule="exact"/>
      <w:outlineLvl w:val="2"/>
    </w:pPr>
    <w:rPr>
      <w:rFonts w:ascii="Times Roman" w:hAnsi="Times Roman" w:eastAsia="黑体" w:cs="Times New Roman"/>
      <w:b/>
      <w:kern w:val="2"/>
      <w:sz w:val="24"/>
      <w:szCs w:val="28"/>
      <w:lang w:val="en-US" w:eastAsia="zh-CN" w:bidi="ar-SA"/>
    </w:rPr>
  </w:style>
  <w:style w:type="character" w:customStyle="1" w:styleId="36">
    <w:name w:val="DTX-03 Char"/>
    <w:link w:val="35"/>
    <w:qFormat/>
    <w:uiPriority w:val="0"/>
    <w:rPr>
      <w:rFonts w:ascii="Times Roman" w:hAnsi="Times Roman" w:eastAsia="黑体" w:cs="Times New Roman"/>
      <w:b/>
      <w:sz w:val="24"/>
      <w:szCs w:val="28"/>
    </w:rPr>
  </w:style>
  <w:style w:type="paragraph" w:customStyle="1" w:styleId="37">
    <w:name w:val="DTX-02"/>
    <w:link w:val="38"/>
    <w:qFormat/>
    <w:uiPriority w:val="0"/>
    <w:pPr>
      <w:keepNext/>
      <w:widowControl w:val="0"/>
      <w:tabs>
        <w:tab w:val="left" w:pos="-180"/>
      </w:tabs>
      <w:adjustRightInd w:val="0"/>
      <w:snapToGrid w:val="0"/>
      <w:spacing w:line="540" w:lineRule="exact"/>
      <w:outlineLvl w:val="1"/>
    </w:pPr>
    <w:rPr>
      <w:rFonts w:ascii="Times New Roman" w:hAnsi="Times New Roman" w:eastAsia="黑体" w:cs="Times New Roman"/>
      <w:b/>
      <w:bCs/>
      <w:kern w:val="2"/>
      <w:sz w:val="28"/>
      <w:szCs w:val="24"/>
      <w:lang w:val="en-US" w:eastAsia="zh-CN" w:bidi="ar-SA"/>
    </w:rPr>
  </w:style>
  <w:style w:type="character" w:customStyle="1" w:styleId="38">
    <w:name w:val="DTX-02 Char"/>
    <w:basedOn w:val="26"/>
    <w:link w:val="37"/>
    <w:qFormat/>
    <w:uiPriority w:val="0"/>
    <w:rPr>
      <w:rFonts w:ascii="Times New Roman" w:hAnsi="Times New Roman" w:eastAsia="黑体" w:cs="Times New Roman"/>
      <w:b/>
      <w:bCs/>
      <w:sz w:val="28"/>
      <w:szCs w:val="24"/>
    </w:rPr>
  </w:style>
  <w:style w:type="paragraph" w:customStyle="1" w:styleId="39">
    <w:name w:val="DTX-01"/>
    <w:qFormat/>
    <w:uiPriority w:val="0"/>
    <w:pPr>
      <w:widowControl w:val="0"/>
      <w:adjustRightInd w:val="0"/>
      <w:snapToGrid w:val="0"/>
      <w:spacing w:line="700" w:lineRule="exact"/>
      <w:outlineLvl w:val="0"/>
    </w:pPr>
    <w:rPr>
      <w:rFonts w:ascii="Times New Roman" w:hAnsi="Times New Roman" w:eastAsia="黑体" w:cs="Times New Roman"/>
      <w:b/>
      <w:kern w:val="0"/>
      <w:sz w:val="30"/>
      <w:szCs w:val="20"/>
      <w:lang w:val="en-US" w:eastAsia="zh-CN" w:bidi="ar-SA"/>
    </w:rPr>
  </w:style>
  <w:style w:type="paragraph" w:customStyle="1" w:styleId="40">
    <w:name w:val="BS-WZ"/>
    <w:link w:val="41"/>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41">
    <w:name w:val="BS-WZ Char"/>
    <w:basedOn w:val="26"/>
    <w:link w:val="40"/>
    <w:qFormat/>
    <w:uiPriority w:val="0"/>
    <w:rPr>
      <w:rFonts w:ascii="Times New Roman" w:hAnsi="Times New Roman" w:eastAsia="宋体" w:cs="Times New Roman"/>
      <w:bCs/>
      <w:sz w:val="24"/>
      <w:szCs w:val="24"/>
    </w:rPr>
  </w:style>
  <w:style w:type="paragraph" w:customStyle="1" w:styleId="42">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43">
    <w:name w:val="DTX-WZ"/>
    <w:link w:val="44"/>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4">
    <w:name w:val="DTX-WZ Char"/>
    <w:basedOn w:val="26"/>
    <w:link w:val="43"/>
    <w:qFormat/>
    <w:uiPriority w:val="0"/>
    <w:rPr>
      <w:rFonts w:ascii="Times New Roman" w:hAnsi="Times New Roman" w:eastAsia="宋体" w:cs="Times New Roman"/>
      <w:sz w:val="24"/>
      <w:szCs w:val="24"/>
    </w:rPr>
  </w:style>
  <w:style w:type="character" w:customStyle="1" w:styleId="45">
    <w:name w:val="文档结构图 Char"/>
    <w:basedOn w:val="26"/>
    <w:link w:val="9"/>
    <w:qFormat/>
    <w:uiPriority w:val="99"/>
    <w:rPr>
      <w:rFonts w:ascii="宋体" w:hAnsi="Times New Roman" w:eastAsia="宋体"/>
      <w:sz w:val="18"/>
      <w:szCs w:val="18"/>
    </w:rPr>
  </w:style>
  <w:style w:type="character" w:customStyle="1" w:styleId="46">
    <w:name w:val="页脚 Char"/>
    <w:basedOn w:val="26"/>
    <w:link w:val="16"/>
    <w:qFormat/>
    <w:uiPriority w:val="99"/>
    <w:rPr>
      <w:rFonts w:ascii="Times New Roman" w:hAnsi="Times New Roman"/>
      <w:sz w:val="18"/>
      <w:szCs w:val="18"/>
    </w:rPr>
  </w:style>
  <w:style w:type="character" w:customStyle="1" w:styleId="47">
    <w:name w:val="页眉 Char"/>
    <w:basedOn w:val="26"/>
    <w:link w:val="17"/>
    <w:qFormat/>
    <w:uiPriority w:val="99"/>
    <w:rPr>
      <w:rFonts w:ascii="Times New Roman" w:hAnsi="Times New Roman"/>
      <w:sz w:val="18"/>
      <w:szCs w:val="18"/>
    </w:rPr>
  </w:style>
  <w:style w:type="paragraph" w:customStyle="1" w:styleId="48">
    <w:name w:val="DTX-BT"/>
    <w:next w:val="1"/>
    <w:link w:val="49"/>
    <w:qFormat/>
    <w:uiPriority w:val="0"/>
    <w:pPr>
      <w:widowControl w:val="0"/>
      <w:tabs>
        <w:tab w:val="center" w:pos="4515"/>
        <w:tab w:val="right" w:pos="9030"/>
      </w:tabs>
      <w:adjustRightInd w:val="0"/>
      <w:snapToGrid w:val="0"/>
      <w:spacing w:line="480" w:lineRule="exact"/>
    </w:pPr>
    <w:rPr>
      <w:rFonts w:ascii="Times New Roman" w:hAnsi="Times New Roman" w:eastAsia="黑体" w:cs="Times New Roman"/>
      <w:b/>
      <w:kern w:val="2"/>
      <w:sz w:val="24"/>
      <w:szCs w:val="30"/>
      <w:lang w:val="en-US" w:eastAsia="zh-CN" w:bidi="ar-SA"/>
    </w:rPr>
  </w:style>
  <w:style w:type="character" w:customStyle="1" w:styleId="49">
    <w:name w:val="DTX-BT Char"/>
    <w:basedOn w:val="26"/>
    <w:link w:val="48"/>
    <w:qFormat/>
    <w:uiPriority w:val="0"/>
    <w:rPr>
      <w:rFonts w:ascii="Times New Roman" w:hAnsi="Times New Roman" w:eastAsia="黑体" w:cs="Times New Roman"/>
      <w:b/>
      <w:sz w:val="24"/>
      <w:szCs w:val="30"/>
    </w:rPr>
  </w:style>
  <w:style w:type="paragraph" w:customStyle="1" w:styleId="50">
    <w:name w:val="DTX-BG"/>
    <w:link w:val="51"/>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character" w:customStyle="1" w:styleId="51">
    <w:name w:val="DTX-BG Char"/>
    <w:link w:val="50"/>
    <w:qFormat/>
    <w:uiPriority w:val="0"/>
    <w:rPr>
      <w:rFonts w:ascii="Times New Roman" w:hAnsi="Times New Roman" w:eastAsia="宋体" w:cs="Times New Roman"/>
      <w:szCs w:val="21"/>
    </w:rPr>
  </w:style>
  <w:style w:type="character" w:customStyle="1" w:styleId="52">
    <w:name w:val="批注框文本 Char"/>
    <w:basedOn w:val="26"/>
    <w:link w:val="15"/>
    <w:semiHidden/>
    <w:qFormat/>
    <w:uiPriority w:val="99"/>
    <w:rPr>
      <w:rFonts w:ascii="Times New Roman" w:hAnsi="Times New Roman"/>
      <w:sz w:val="18"/>
      <w:szCs w:val="18"/>
    </w:rPr>
  </w:style>
  <w:style w:type="paragraph" w:customStyle="1" w:styleId="53">
    <w:name w:val="表格内容（居中）"/>
    <w:basedOn w:val="1"/>
    <w:qFormat/>
    <w:uiPriority w:val="0"/>
    <w:pPr>
      <w:jc w:val="center"/>
    </w:pPr>
    <w:rPr>
      <w:rFonts w:eastAsia="宋体" w:cs="宋体"/>
      <w:kern w:val="0"/>
      <w:sz w:val="21"/>
      <w:szCs w:val="20"/>
    </w:rPr>
  </w:style>
  <w:style w:type="paragraph" w:customStyle="1" w:styleId="54">
    <w:name w:val="BS-BG"/>
    <w:link w:val="55"/>
    <w:qFormat/>
    <w:uiPriority w:val="0"/>
    <w:pPr>
      <w:widowControl w:val="0"/>
      <w:adjustRightInd w:val="0"/>
      <w:snapToGrid w:val="0"/>
      <w:spacing w:line="400" w:lineRule="exact"/>
      <w:jc w:val="center"/>
    </w:pPr>
    <w:rPr>
      <w:rFonts w:ascii="Times New Roman" w:hAnsi="Times New Roman" w:eastAsia="宋体" w:cs="Times New Roman"/>
      <w:kern w:val="0"/>
      <w:sz w:val="21"/>
      <w:szCs w:val="30"/>
      <w:lang w:val="en-US" w:eastAsia="zh-CN" w:bidi="ar-SA"/>
    </w:rPr>
  </w:style>
  <w:style w:type="character" w:customStyle="1" w:styleId="55">
    <w:name w:val="BS-BG Char"/>
    <w:basedOn w:val="26"/>
    <w:link w:val="54"/>
    <w:qFormat/>
    <w:uiPriority w:val="0"/>
    <w:rPr>
      <w:rFonts w:ascii="Times New Roman" w:hAnsi="Times New Roman" w:eastAsia="宋体" w:cs="Times New Roman"/>
      <w:kern w:val="0"/>
      <w:szCs w:val="30"/>
    </w:rPr>
  </w:style>
  <w:style w:type="paragraph" w:customStyle="1" w:styleId="56">
    <w:name w:val="BS-BT"/>
    <w:qFormat/>
    <w:uiPriority w:val="0"/>
    <w:pPr>
      <w:widowControl w:val="0"/>
      <w:tabs>
        <w:tab w:val="center" w:pos="4410"/>
        <w:tab w:val="right" w:pos="8820"/>
      </w:tabs>
      <w:adjustRightInd w:val="0"/>
      <w:snapToGrid w:val="0"/>
      <w:spacing w:line="500" w:lineRule="exact"/>
      <w:jc w:val="both"/>
    </w:pPr>
    <w:rPr>
      <w:rFonts w:ascii="Times New Roman" w:hAnsi="Times New Roman" w:eastAsia="黑体" w:cs="Times New Roman"/>
      <w:b/>
      <w:kern w:val="2"/>
      <w:sz w:val="24"/>
      <w:szCs w:val="30"/>
      <w:lang w:val="en-US" w:eastAsia="zh-CN" w:bidi="ar-SA"/>
    </w:rPr>
  </w:style>
  <w:style w:type="character" w:customStyle="1" w:styleId="57">
    <w:name w:val="DTX-WZ Char Char"/>
    <w:basedOn w:val="26"/>
    <w:qFormat/>
    <w:uiPriority w:val="0"/>
    <w:rPr>
      <w:kern w:val="2"/>
      <w:sz w:val="24"/>
      <w:szCs w:val="24"/>
    </w:rPr>
  </w:style>
  <w:style w:type="character" w:customStyle="1" w:styleId="58">
    <w:name w:val="SB-ZW Char Char"/>
    <w:basedOn w:val="26"/>
    <w:link w:val="59"/>
    <w:qFormat/>
    <w:uiPriority w:val="0"/>
    <w:rPr>
      <w:rFonts w:eastAsia="宋体"/>
      <w:sz w:val="24"/>
      <w:szCs w:val="24"/>
    </w:rPr>
  </w:style>
  <w:style w:type="paragraph" w:customStyle="1" w:styleId="59">
    <w:name w:val="SB-ZW"/>
    <w:basedOn w:val="1"/>
    <w:link w:val="58"/>
    <w:qFormat/>
    <w:uiPriority w:val="0"/>
    <w:pPr>
      <w:autoSpaceDE w:val="0"/>
      <w:autoSpaceDN w:val="0"/>
      <w:adjustRightInd w:val="0"/>
      <w:snapToGrid w:val="0"/>
      <w:spacing w:line="500" w:lineRule="exact"/>
      <w:ind w:firstLine="200" w:firstLineChars="200"/>
    </w:pPr>
    <w:rPr>
      <w:rFonts w:eastAsia="宋体" w:asciiTheme="minorHAnsi" w:hAnsiTheme="minorHAnsi"/>
      <w:szCs w:val="24"/>
    </w:rPr>
  </w:style>
  <w:style w:type="character" w:customStyle="1" w:styleId="60">
    <w:name w:val="样式5 Char1"/>
    <w:basedOn w:val="26"/>
    <w:link w:val="61"/>
    <w:qFormat/>
    <w:uiPriority w:val="0"/>
    <w:rPr>
      <w:rFonts w:ascii="宋体" w:hAnsi="宋体" w:eastAsia="Times New Roman" w:cs="宋体"/>
    </w:rPr>
  </w:style>
  <w:style w:type="paragraph" w:customStyle="1" w:styleId="61">
    <w:name w:val="样式5"/>
    <w:basedOn w:val="1"/>
    <w:link w:val="60"/>
    <w:qFormat/>
    <w:uiPriority w:val="0"/>
    <w:pPr>
      <w:widowControl/>
      <w:jc w:val="left"/>
    </w:pPr>
    <w:rPr>
      <w:rFonts w:ascii="宋体" w:hAnsi="宋体" w:eastAsia="Times New Roman" w:cs="宋体"/>
      <w:sz w:val="21"/>
    </w:rPr>
  </w:style>
  <w:style w:type="character" w:customStyle="1" w:styleId="62">
    <w:name w:val="BS-WZ Char Char"/>
    <w:qFormat/>
    <w:uiPriority w:val="0"/>
    <w:rPr>
      <w:bCs/>
      <w:kern w:val="2"/>
      <w:sz w:val="24"/>
      <w:szCs w:val="24"/>
      <w:lang w:val="en-US" w:eastAsia="zh-CN" w:bidi="ar-SA"/>
    </w:rPr>
  </w:style>
  <w:style w:type="character" w:customStyle="1" w:styleId="63">
    <w:name w:val="DTX-BT Char Char"/>
    <w:basedOn w:val="26"/>
    <w:qFormat/>
    <w:uiPriority w:val="0"/>
    <w:rPr>
      <w:rFonts w:eastAsia="黑体"/>
      <w:b/>
      <w:kern w:val="2"/>
      <w:sz w:val="24"/>
      <w:szCs w:val="30"/>
    </w:rPr>
  </w:style>
  <w:style w:type="character" w:customStyle="1" w:styleId="64">
    <w:name w:val="DTX-BG Char Char"/>
    <w:qFormat/>
    <w:uiPriority w:val="0"/>
    <w:rPr>
      <w:kern w:val="2"/>
      <w:sz w:val="21"/>
      <w:szCs w:val="30"/>
    </w:rPr>
  </w:style>
  <w:style w:type="paragraph" w:customStyle="1" w:styleId="65">
    <w:name w:val="清原表格名"/>
    <w:basedOn w:val="1"/>
    <w:link w:val="66"/>
    <w:qFormat/>
    <w:uiPriority w:val="0"/>
    <w:pPr>
      <w:spacing w:line="440" w:lineRule="exact"/>
    </w:pPr>
    <w:rPr>
      <w:rFonts w:eastAsia="宋体" w:cs="Times New Roman"/>
      <w:b/>
      <w:color w:val="000000"/>
      <w:kern w:val="0"/>
      <w:sz w:val="21"/>
      <w:szCs w:val="24"/>
    </w:rPr>
  </w:style>
  <w:style w:type="character" w:customStyle="1" w:styleId="66">
    <w:name w:val="清原表格名 Char"/>
    <w:basedOn w:val="26"/>
    <w:link w:val="65"/>
    <w:qFormat/>
    <w:uiPriority w:val="0"/>
    <w:rPr>
      <w:rFonts w:ascii="Times New Roman" w:hAnsi="Times New Roman" w:eastAsia="宋体" w:cs="Times New Roman"/>
      <w:b/>
      <w:color w:val="000000"/>
      <w:kern w:val="0"/>
      <w:szCs w:val="24"/>
    </w:rPr>
  </w:style>
  <w:style w:type="paragraph" w:customStyle="1" w:styleId="67">
    <w:name w:val="BS-HBT"/>
    <w:qFormat/>
    <w:uiPriority w:val="0"/>
    <w:pPr>
      <w:widowControl w:val="0"/>
      <w:tabs>
        <w:tab w:val="center" w:pos="6615"/>
        <w:tab w:val="right" w:pos="13230"/>
      </w:tabs>
      <w:adjustRightInd w:val="0"/>
      <w:snapToGrid w:val="0"/>
      <w:spacing w:line="500" w:lineRule="exact"/>
      <w:ind w:left="100" w:leftChars="100"/>
      <w:jc w:val="both"/>
    </w:pPr>
    <w:rPr>
      <w:rFonts w:ascii="Times New Roman" w:hAnsi="Times New Roman" w:eastAsia="黑体" w:cs="Times New Roman"/>
      <w:b/>
      <w:kern w:val="2"/>
      <w:sz w:val="24"/>
      <w:szCs w:val="30"/>
      <w:lang w:val="en-US" w:eastAsia="zh-CN" w:bidi="ar-SA"/>
    </w:rPr>
  </w:style>
  <w:style w:type="paragraph" w:customStyle="1" w:styleId="68">
    <w:name w:val="BS-04"/>
    <w:qFormat/>
    <w:uiPriority w:val="0"/>
    <w:pPr>
      <w:keepNext/>
      <w:widowControl w:val="0"/>
      <w:spacing w:line="500" w:lineRule="exact"/>
      <w:jc w:val="both"/>
      <w:outlineLvl w:val="3"/>
    </w:pPr>
    <w:rPr>
      <w:rFonts w:ascii="Times New Roman" w:hAnsi="Times New Roman" w:eastAsia="宋体" w:cs="Times New Roman"/>
      <w:kern w:val="2"/>
      <w:sz w:val="24"/>
      <w:szCs w:val="28"/>
      <w:lang w:val="en-US" w:eastAsia="zh-CN" w:bidi="ar-SA"/>
    </w:rPr>
  </w:style>
  <w:style w:type="paragraph" w:customStyle="1" w:styleId="69">
    <w:name w:val="DTX-HBT"/>
    <w:basedOn w:val="48"/>
    <w:link w:val="70"/>
    <w:qFormat/>
    <w:uiPriority w:val="0"/>
    <w:pPr>
      <w:tabs>
        <w:tab w:val="center" w:pos="6663"/>
        <w:tab w:val="right" w:pos="13608"/>
        <w:tab w:val="clear" w:pos="4515"/>
        <w:tab w:val="clear" w:pos="9030"/>
      </w:tabs>
    </w:pPr>
    <w:rPr>
      <w:snapToGrid w:val="0"/>
      <w:kern w:val="0"/>
    </w:rPr>
  </w:style>
  <w:style w:type="character" w:customStyle="1" w:styleId="70">
    <w:name w:val="DTX-HBT Char"/>
    <w:basedOn w:val="49"/>
    <w:link w:val="69"/>
    <w:qFormat/>
    <w:uiPriority w:val="0"/>
    <w:rPr>
      <w:rFonts w:ascii="Times New Roman" w:hAnsi="Times New Roman" w:eastAsia="黑体" w:cs="Times New Roman"/>
      <w:snapToGrid w:val="0"/>
      <w:kern w:val="0"/>
      <w:sz w:val="24"/>
      <w:szCs w:val="30"/>
    </w:rPr>
  </w:style>
  <w:style w:type="paragraph" w:customStyle="1" w:styleId="71">
    <w:name w:val="清原表格内容"/>
    <w:basedOn w:val="1"/>
    <w:link w:val="72"/>
    <w:qFormat/>
    <w:uiPriority w:val="0"/>
    <w:pPr>
      <w:widowControl/>
      <w:spacing w:line="240" w:lineRule="exact"/>
      <w:ind w:left="-94" w:leftChars="-45" w:right="-63" w:rightChars="-30"/>
      <w:jc w:val="center"/>
    </w:pPr>
    <w:rPr>
      <w:rFonts w:hAnsi="宋体" w:eastAsia="宋体" w:cs="Times New Roman"/>
      <w:kern w:val="0"/>
      <w:sz w:val="21"/>
      <w:szCs w:val="21"/>
    </w:rPr>
  </w:style>
  <w:style w:type="character" w:customStyle="1" w:styleId="72">
    <w:name w:val="清原表格内容 Char"/>
    <w:basedOn w:val="26"/>
    <w:link w:val="71"/>
    <w:qFormat/>
    <w:uiPriority w:val="0"/>
    <w:rPr>
      <w:rFonts w:ascii="Times New Roman" w:hAnsi="宋体" w:eastAsia="宋体" w:cs="Times New Roman"/>
      <w:kern w:val="0"/>
      <w:szCs w:val="21"/>
    </w:rPr>
  </w:style>
  <w:style w:type="paragraph" w:customStyle="1" w:styleId="73">
    <w:name w:val="BS-T"/>
    <w:qFormat/>
    <w:uiPriority w:val="0"/>
    <w:pPr>
      <w:widowControl w:val="0"/>
      <w:adjustRightInd w:val="0"/>
      <w:snapToGrid w:val="0"/>
      <w:jc w:val="center"/>
    </w:pPr>
    <w:rPr>
      <w:rFonts w:ascii="Times New Roman" w:hAnsi="Times New Roman" w:eastAsia="黑体" w:cs="Times New Roman"/>
      <w:kern w:val="0"/>
      <w:sz w:val="18"/>
      <w:szCs w:val="20"/>
      <w:lang w:val="en-US" w:eastAsia="zh-CN" w:bidi="ar-SA"/>
    </w:rPr>
  </w:style>
  <w:style w:type="paragraph" w:customStyle="1" w:styleId="74">
    <w:name w:val="DTX-TM"/>
    <w:basedOn w:val="1"/>
    <w:qFormat/>
    <w:uiPriority w:val="0"/>
    <w:pPr>
      <w:spacing w:line="500" w:lineRule="exact"/>
      <w:jc w:val="center"/>
    </w:pPr>
    <w:rPr>
      <w:rFonts w:hAnsi="黑体" w:eastAsia="黑体" w:cs="Times New Roman"/>
      <w:b/>
      <w:szCs w:val="24"/>
    </w:rPr>
  </w:style>
  <w:style w:type="paragraph" w:customStyle="1" w:styleId="75">
    <w:name w:val="BS-TZ"/>
    <w:qFormat/>
    <w:uiPriority w:val="0"/>
    <w:pPr>
      <w:adjustRightInd w:val="0"/>
      <w:snapToGrid w:val="0"/>
      <w:spacing w:line="500" w:lineRule="exact"/>
      <w:jc w:val="center"/>
    </w:pPr>
    <w:rPr>
      <w:rFonts w:ascii="Times New Roman" w:hAnsi="Times New Roman" w:eastAsia="黑体" w:cs="Times New Roman"/>
      <w:b/>
      <w:kern w:val="0"/>
      <w:sz w:val="24"/>
      <w:szCs w:val="32"/>
      <w:lang w:val="en-US" w:eastAsia="zh-CN" w:bidi="ar-SA"/>
    </w:rPr>
  </w:style>
  <w:style w:type="paragraph" w:customStyle="1" w:styleId="76">
    <w:name w:val="DTX-T"/>
    <w:qFormat/>
    <w:uiPriority w:val="0"/>
    <w:pPr>
      <w:widowControl w:val="0"/>
      <w:adjustRightInd w:val="0"/>
      <w:jc w:val="center"/>
    </w:pPr>
    <w:rPr>
      <w:rFonts w:ascii="Times New Roman" w:hAnsi="Times New Roman" w:eastAsia="宋体" w:cs="Times New Roman"/>
      <w:kern w:val="2"/>
      <w:sz w:val="24"/>
      <w:szCs w:val="24"/>
      <w:lang w:val="en-US" w:eastAsia="zh-CN" w:bidi="ar-SA"/>
    </w:rPr>
  </w:style>
  <w:style w:type="character" w:customStyle="1" w:styleId="77">
    <w:name w:val="BS-03 Char"/>
    <w:link w:val="78"/>
    <w:qFormat/>
    <w:uiPriority w:val="0"/>
    <w:rPr>
      <w:rFonts w:ascii="Times New Roman" w:hAnsi="Times New Roman" w:eastAsia="黑体" w:cs="Times New Roman"/>
      <w:b/>
      <w:sz w:val="24"/>
      <w:szCs w:val="28"/>
    </w:rPr>
  </w:style>
  <w:style w:type="paragraph" w:customStyle="1" w:styleId="78">
    <w:name w:val="BS-03"/>
    <w:link w:val="77"/>
    <w:qFormat/>
    <w:uiPriority w:val="0"/>
    <w:pPr>
      <w:keepNext/>
      <w:keepLines/>
      <w:widowControl w:val="0"/>
      <w:adjustRightInd w:val="0"/>
      <w:snapToGrid w:val="0"/>
      <w:spacing w:line="500" w:lineRule="exact"/>
      <w:jc w:val="both"/>
      <w:outlineLvl w:val="2"/>
    </w:pPr>
    <w:rPr>
      <w:rFonts w:ascii="Times New Roman" w:hAnsi="Times New Roman" w:eastAsia="黑体" w:cs="Times New Roman"/>
      <w:b/>
      <w:kern w:val="2"/>
      <w:sz w:val="24"/>
      <w:szCs w:val="28"/>
      <w:lang w:val="en-US" w:eastAsia="zh-CN" w:bidi="ar-SA"/>
    </w:rPr>
  </w:style>
  <w:style w:type="paragraph" w:customStyle="1" w:styleId="79">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0">
    <w:name w:val="font6"/>
    <w:basedOn w:val="1"/>
    <w:qFormat/>
    <w:uiPriority w:val="0"/>
    <w:pPr>
      <w:widowControl/>
      <w:spacing w:before="100" w:beforeAutospacing="1" w:after="100" w:afterAutospacing="1"/>
      <w:jc w:val="left"/>
    </w:pPr>
    <w:rPr>
      <w:rFonts w:ascii="宋体" w:hAnsi="宋体" w:eastAsia="宋体" w:cs="宋体"/>
      <w:kern w:val="0"/>
      <w:szCs w:val="24"/>
    </w:rPr>
  </w:style>
  <w:style w:type="paragraph" w:customStyle="1" w:styleId="81">
    <w:name w:val="font7"/>
    <w:basedOn w:val="1"/>
    <w:qFormat/>
    <w:uiPriority w:val="0"/>
    <w:pPr>
      <w:widowControl/>
      <w:spacing w:before="100" w:beforeAutospacing="1" w:after="100" w:afterAutospacing="1"/>
      <w:jc w:val="left"/>
    </w:pPr>
    <w:rPr>
      <w:rFonts w:ascii="宋体" w:hAnsi="宋体" w:eastAsia="宋体" w:cs="宋体"/>
      <w:color w:val="000000"/>
      <w:kern w:val="0"/>
      <w:szCs w:val="24"/>
    </w:rPr>
  </w:style>
  <w:style w:type="paragraph" w:customStyle="1" w:styleId="82">
    <w:name w:val="xl8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3">
    <w:name w:val="xl8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4">
    <w:name w:val="xl8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Cs w:val="24"/>
    </w:rPr>
  </w:style>
  <w:style w:type="paragraph" w:customStyle="1" w:styleId="85">
    <w:name w:val="xl8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6">
    <w:name w:val="xl89"/>
    <w:basedOn w:val="1"/>
    <w:qFormat/>
    <w:uiPriority w:val="0"/>
    <w:pPr>
      <w:widowControl/>
      <w:spacing w:before="100" w:beforeAutospacing="1" w:after="100" w:afterAutospacing="1"/>
      <w:jc w:val="left"/>
      <w:textAlignment w:val="center"/>
    </w:pPr>
    <w:rPr>
      <w:rFonts w:ascii="宋体" w:hAnsi="宋体" w:eastAsia="宋体" w:cs="宋体"/>
      <w:kern w:val="0"/>
      <w:szCs w:val="24"/>
    </w:rPr>
  </w:style>
  <w:style w:type="paragraph" w:customStyle="1" w:styleId="87">
    <w:name w:val="xl90"/>
    <w:basedOn w:val="1"/>
    <w:qFormat/>
    <w:uiPriority w:val="0"/>
    <w:pPr>
      <w:widowControl/>
      <w:spacing w:before="100" w:beforeAutospacing="1" w:after="100" w:afterAutospacing="1"/>
      <w:jc w:val="center"/>
      <w:textAlignment w:val="center"/>
    </w:pPr>
    <w:rPr>
      <w:rFonts w:ascii="宋体" w:hAnsi="宋体" w:eastAsia="宋体" w:cs="宋体"/>
      <w:kern w:val="0"/>
      <w:szCs w:val="24"/>
    </w:rPr>
  </w:style>
  <w:style w:type="paragraph" w:customStyle="1" w:styleId="88">
    <w:name w:val="xl9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89">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9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4">
    <w:name w:val="xl9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95">
    <w:name w:val="xl9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6">
    <w:name w:val="xl9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7">
    <w:name w:val="xl10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8">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99">
    <w:name w:val="xl10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0">
    <w:name w:val="xl10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1">
    <w:name w:val="xl104"/>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2">
    <w:name w:val="xl10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3">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0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0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07">
    <w:name w:val="xl110"/>
    <w:basedOn w:val="1"/>
    <w:qFormat/>
    <w:uiPriority w:val="0"/>
    <w:pPr>
      <w:widowControl/>
      <w:spacing w:before="100" w:beforeAutospacing="1" w:after="100" w:afterAutospacing="1"/>
      <w:jc w:val="left"/>
    </w:pPr>
    <w:rPr>
      <w:rFonts w:ascii="宋体" w:hAnsi="宋体" w:eastAsia="宋体" w:cs="宋体"/>
      <w:b/>
      <w:bCs/>
      <w:kern w:val="0"/>
      <w:szCs w:val="24"/>
    </w:rPr>
  </w:style>
  <w:style w:type="paragraph" w:customStyle="1" w:styleId="108">
    <w:name w:val="xl11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9">
    <w:name w:val="xl112"/>
    <w:basedOn w:val="1"/>
    <w:qFormat/>
    <w:uiPriority w:val="0"/>
    <w:pPr>
      <w:widowControl/>
      <w:spacing w:before="100" w:beforeAutospacing="1" w:after="100" w:afterAutospacing="1"/>
      <w:jc w:val="left"/>
    </w:pPr>
    <w:rPr>
      <w:rFonts w:ascii="宋体" w:hAnsi="宋体" w:eastAsia="宋体" w:cs="宋体"/>
      <w:b/>
      <w:bCs/>
      <w:color w:val="000000"/>
      <w:kern w:val="0"/>
      <w:szCs w:val="24"/>
    </w:rPr>
  </w:style>
  <w:style w:type="paragraph" w:customStyle="1" w:styleId="110">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2">
    <w:name w:val="xl11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3">
    <w:name w:val="xl116"/>
    <w:basedOn w:val="1"/>
    <w:qFormat/>
    <w:uiPriority w:val="0"/>
    <w:pPr>
      <w:widowControl/>
      <w:pBdr>
        <w:top w:val="single" w:color="auto" w:sz="4" w:space="0"/>
        <w:left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14">
    <w:name w:val="xl11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5">
    <w:name w:val="xl11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6">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7">
    <w:name w:val="xl12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8">
    <w:name w:val="xl12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9">
    <w:name w:val="xl12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20">
    <w:name w:val="xl12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1">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22">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3">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24">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5">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b/>
      <w:bCs/>
      <w:kern w:val="0"/>
      <w:szCs w:val="24"/>
    </w:rPr>
  </w:style>
  <w:style w:type="paragraph" w:customStyle="1" w:styleId="126">
    <w:name w:val="xl12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7">
    <w:name w:val="xl1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8">
    <w:name w:val="xl1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29">
    <w:name w:val="xl13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30">
    <w:name w:val="xl133"/>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宋体"/>
      <w:kern w:val="0"/>
      <w:szCs w:val="24"/>
    </w:rPr>
  </w:style>
  <w:style w:type="paragraph" w:customStyle="1" w:styleId="131">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32">
    <w:name w:val="xl135"/>
    <w:basedOn w:val="1"/>
    <w:qFormat/>
    <w:uiPriority w:val="0"/>
    <w:pPr>
      <w:widowControl/>
      <w:spacing w:before="100" w:beforeAutospacing="1" w:after="100" w:afterAutospacing="1"/>
      <w:jc w:val="right"/>
      <w:textAlignment w:val="center"/>
    </w:pPr>
    <w:rPr>
      <w:rFonts w:ascii="宋体" w:hAnsi="宋体" w:eastAsia="宋体" w:cs="宋体"/>
      <w:kern w:val="0"/>
      <w:szCs w:val="24"/>
    </w:rPr>
  </w:style>
  <w:style w:type="paragraph" w:customStyle="1" w:styleId="133">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4">
    <w:name w:val="xl1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5">
    <w:name w:val="xl13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6">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7">
    <w:name w:val="xl14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8">
    <w:name w:val="xl14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9">
    <w:name w:val="xl14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宋体" w:hAnsi="宋体" w:eastAsia="宋体" w:cs="宋体"/>
      <w:kern w:val="0"/>
      <w:szCs w:val="24"/>
    </w:rPr>
  </w:style>
  <w:style w:type="paragraph" w:customStyle="1" w:styleId="140">
    <w:name w:val="xl1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1">
    <w:name w:val="xl144"/>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42">
    <w:name w:val="xl14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3">
    <w:name w:val="xl1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pPr>
    <w:rPr>
      <w:rFonts w:ascii="宋体" w:hAnsi="宋体" w:eastAsia="宋体" w:cs="宋体"/>
      <w:kern w:val="0"/>
      <w:szCs w:val="24"/>
    </w:rPr>
  </w:style>
  <w:style w:type="paragraph" w:customStyle="1" w:styleId="144">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5">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6">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7">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8">
    <w:name w:val="xl151"/>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9">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50">
    <w:name w:val="xl153"/>
    <w:basedOn w:val="1"/>
    <w:qFormat/>
    <w:uiPriority w:val="0"/>
    <w:pPr>
      <w:widowControl/>
      <w:spacing w:before="100" w:beforeAutospacing="1" w:after="100" w:afterAutospacing="1"/>
      <w:jc w:val="center"/>
      <w:textAlignment w:val="center"/>
    </w:pPr>
    <w:rPr>
      <w:rFonts w:ascii="宋体" w:hAnsi="宋体" w:eastAsia="宋体" w:cs="宋体"/>
      <w:b/>
      <w:bCs/>
      <w:kern w:val="0"/>
      <w:sz w:val="32"/>
      <w:szCs w:val="32"/>
    </w:rPr>
  </w:style>
  <w:style w:type="character" w:customStyle="1" w:styleId="151">
    <w:name w:val="0JH-正文 Char"/>
    <w:link w:val="152"/>
    <w:qFormat/>
    <w:uiPriority w:val="0"/>
    <w:rPr>
      <w:sz w:val="24"/>
      <w:szCs w:val="24"/>
    </w:rPr>
  </w:style>
  <w:style w:type="paragraph" w:customStyle="1" w:styleId="152">
    <w:name w:val="0JH-正文"/>
    <w:link w:val="151"/>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24"/>
      <w:lang w:val="en-US" w:eastAsia="zh-CN" w:bidi="ar-SA"/>
    </w:rPr>
  </w:style>
  <w:style w:type="paragraph" w:customStyle="1" w:styleId="153">
    <w:name w:val="LL-ZW"/>
    <w:basedOn w:val="1"/>
    <w:link w:val="154"/>
    <w:qFormat/>
    <w:uiPriority w:val="0"/>
    <w:pPr>
      <w:adjustRightInd w:val="0"/>
      <w:snapToGrid w:val="0"/>
      <w:spacing w:line="500" w:lineRule="exact"/>
      <w:ind w:firstLine="200" w:firstLineChars="200"/>
    </w:pPr>
    <w:rPr>
      <w:rFonts w:eastAsia="宋体" w:cs="Times New Roman"/>
      <w:szCs w:val="24"/>
    </w:rPr>
  </w:style>
  <w:style w:type="character" w:customStyle="1" w:styleId="154">
    <w:name w:val="LL-ZW Char"/>
    <w:basedOn w:val="26"/>
    <w:link w:val="153"/>
    <w:qFormat/>
    <w:uiPriority w:val="0"/>
    <w:rPr>
      <w:rFonts w:ascii="Times New Roman" w:hAnsi="Times New Roman" w:eastAsia="宋体" w:cs="Times New Roman"/>
      <w:sz w:val="24"/>
      <w:szCs w:val="24"/>
    </w:rPr>
  </w:style>
  <w:style w:type="paragraph" w:customStyle="1" w:styleId="155">
    <w:name w:val="表头"/>
    <w:basedOn w:val="1"/>
    <w:link w:val="156"/>
    <w:qFormat/>
    <w:uiPriority w:val="0"/>
    <w:pPr>
      <w:tabs>
        <w:tab w:val="center" w:pos="4440"/>
        <w:tab w:val="right" w:pos="8880"/>
      </w:tabs>
      <w:adjustRightInd w:val="0"/>
      <w:snapToGrid w:val="0"/>
      <w:spacing w:line="500" w:lineRule="exact"/>
    </w:pPr>
    <w:rPr>
      <w:rFonts w:eastAsia="黑体" w:cs="Times New Roman"/>
      <w:b/>
      <w:szCs w:val="24"/>
    </w:rPr>
  </w:style>
  <w:style w:type="character" w:customStyle="1" w:styleId="156">
    <w:name w:val="表头 Char"/>
    <w:basedOn w:val="26"/>
    <w:link w:val="155"/>
    <w:qFormat/>
    <w:uiPriority w:val="0"/>
    <w:rPr>
      <w:rFonts w:ascii="Times New Roman" w:hAnsi="Times New Roman" w:eastAsia="黑体" w:cs="Times New Roman"/>
      <w:b/>
      <w:sz w:val="24"/>
      <w:szCs w:val="24"/>
    </w:rPr>
  </w:style>
  <w:style w:type="paragraph" w:customStyle="1" w:styleId="157">
    <w:name w:val="表格20"/>
    <w:basedOn w:val="1"/>
    <w:link w:val="158"/>
    <w:qFormat/>
    <w:uiPriority w:val="0"/>
    <w:pPr>
      <w:adjustRightInd w:val="0"/>
      <w:snapToGrid w:val="0"/>
      <w:spacing w:line="400" w:lineRule="exact"/>
      <w:jc w:val="center"/>
    </w:pPr>
    <w:rPr>
      <w:rFonts w:eastAsia="宋体" w:cs="Times New Roman"/>
      <w:sz w:val="21"/>
      <w:szCs w:val="24"/>
    </w:rPr>
  </w:style>
  <w:style w:type="character" w:customStyle="1" w:styleId="158">
    <w:name w:val="表格20 Char"/>
    <w:basedOn w:val="26"/>
    <w:link w:val="157"/>
    <w:qFormat/>
    <w:uiPriority w:val="0"/>
    <w:rPr>
      <w:rFonts w:ascii="Times New Roman" w:hAnsi="Times New Roman" w:eastAsia="宋体" w:cs="Times New Roman"/>
      <w:szCs w:val="24"/>
    </w:rPr>
  </w:style>
  <w:style w:type="character" w:styleId="159">
    <w:name w:val="Placeholder Text"/>
    <w:basedOn w:val="26"/>
    <w:semiHidden/>
    <w:qFormat/>
    <w:uiPriority w:val="99"/>
    <w:rPr>
      <w:color w:val="808080"/>
    </w:rPr>
  </w:style>
  <w:style w:type="character" w:customStyle="1" w:styleId="160">
    <w:name w:val="PT-WZ Char"/>
    <w:link w:val="161"/>
    <w:qFormat/>
    <w:uiPriority w:val="0"/>
    <w:rPr>
      <w:sz w:val="24"/>
      <w:szCs w:val="30"/>
    </w:rPr>
  </w:style>
  <w:style w:type="paragraph" w:customStyle="1" w:styleId="161">
    <w:name w:val="PT-WZ"/>
    <w:link w:val="160"/>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30"/>
      <w:lang w:val="en-US" w:eastAsia="zh-CN" w:bidi="ar-SA"/>
    </w:rPr>
  </w:style>
  <w:style w:type="paragraph" w:customStyle="1" w:styleId="162">
    <w:name w:val="清原正文"/>
    <w:basedOn w:val="1"/>
    <w:link w:val="163"/>
    <w:qFormat/>
    <w:uiPriority w:val="0"/>
    <w:pPr>
      <w:adjustRightInd w:val="0"/>
      <w:snapToGrid w:val="0"/>
      <w:spacing w:line="500" w:lineRule="exact"/>
      <w:ind w:firstLine="200" w:firstLineChars="200"/>
    </w:pPr>
    <w:rPr>
      <w:rFonts w:eastAsia="宋体" w:cs="Times New Roman"/>
      <w:szCs w:val="24"/>
    </w:rPr>
  </w:style>
  <w:style w:type="character" w:customStyle="1" w:styleId="163">
    <w:name w:val="啦啦啦啦啦 Char"/>
    <w:link w:val="162"/>
    <w:qFormat/>
    <w:uiPriority w:val="0"/>
    <w:rPr>
      <w:rFonts w:ascii="Times New Roman" w:hAnsi="Times New Roman" w:eastAsia="宋体" w:cs="Times New Roman"/>
      <w:sz w:val="24"/>
      <w:szCs w:val="24"/>
    </w:rPr>
  </w:style>
  <w:style w:type="paragraph" w:customStyle="1" w:styleId="164">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5">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6">
    <w:name w:val="font10"/>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167">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68">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宋体" w:cs="Times New Roman"/>
      <w:kern w:val="0"/>
      <w:sz w:val="22"/>
    </w:rPr>
  </w:style>
  <w:style w:type="paragraph" w:customStyle="1" w:styleId="169">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0">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1">
    <w:name w:val="xl1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2">
    <w:name w:val="xl159"/>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3">
    <w:name w:val="xl160"/>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4">
    <w:name w:val="xl161"/>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5">
    <w:name w:val="xl16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6">
    <w:name w:val="xl16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77">
    <w:name w:val="xl16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8">
    <w:name w:val="xl16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9">
    <w:name w:val="xl166"/>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0">
    <w:name w:val="xl16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1">
    <w:name w:val="xl1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2">
    <w:name w:val="xl1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3">
    <w:name w:val="xl1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4">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5">
    <w:name w:val="xl17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paragraph" w:customStyle="1" w:styleId="186">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7">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8">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9">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0">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22"/>
    </w:rPr>
  </w:style>
  <w:style w:type="paragraph" w:customStyle="1" w:styleId="191">
    <w:name w:val="xl17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92">
    <w:name w:val="xl17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3">
    <w:name w:val="xl18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4">
    <w:name w:val="xl18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character" w:customStyle="1" w:styleId="195">
    <w:name w:val="SB-ZW Char"/>
    <w:qFormat/>
    <w:uiPriority w:val="0"/>
    <w:rPr>
      <w:sz w:val="24"/>
      <w:szCs w:val="24"/>
    </w:rPr>
  </w:style>
  <w:style w:type="paragraph" w:customStyle="1" w:styleId="196">
    <w:name w:val="g刷正文"/>
    <w:basedOn w:val="1"/>
    <w:qFormat/>
    <w:uiPriority w:val="0"/>
    <w:pPr>
      <w:spacing w:line="480" w:lineRule="exact"/>
      <w:ind w:firstLine="200" w:firstLineChars="200"/>
    </w:pPr>
    <w:rPr>
      <w:rFonts w:eastAsia="仿宋_GB2312"/>
      <w:sz w:val="28"/>
      <w:szCs w:val="28"/>
    </w:rPr>
  </w:style>
  <w:style w:type="paragraph" w:customStyle="1" w:styleId="197">
    <w:name w:val="_ 正文格式"/>
    <w:basedOn w:val="1"/>
    <w:qFormat/>
    <w:uiPriority w:val="0"/>
    <w:pPr>
      <w:spacing w:line="480" w:lineRule="exact"/>
      <w:ind w:firstLine="200" w:firstLineChars="200"/>
    </w:pPr>
    <w:rPr>
      <w:rFonts w:eastAsia="仿宋_GB2312"/>
      <w:sz w:val="28"/>
    </w:rPr>
  </w:style>
  <w:style w:type="character" w:customStyle="1" w:styleId="198">
    <w:name w:val="font01"/>
    <w:basedOn w:val="26"/>
    <w:qFormat/>
    <w:uiPriority w:val="0"/>
    <w:rPr>
      <w:rFonts w:hint="default" w:ascii="仿宋_GB2312" w:eastAsia="仿宋_GB2312" w:cs="仿宋_GB2312"/>
      <w:b/>
      <w:color w:val="000000"/>
      <w:sz w:val="21"/>
      <w:szCs w:val="21"/>
      <w:u w:val="none"/>
    </w:rPr>
  </w:style>
  <w:style w:type="character" w:customStyle="1" w:styleId="199">
    <w:name w:val="font101"/>
    <w:basedOn w:val="26"/>
    <w:qFormat/>
    <w:uiPriority w:val="0"/>
    <w:rPr>
      <w:rFonts w:hint="default" w:ascii="Times New Roman" w:hAnsi="Times New Roman" w:cs="Times New Roman"/>
      <w:color w:val="000000"/>
      <w:sz w:val="21"/>
      <w:szCs w:val="21"/>
      <w:u w:val="none"/>
    </w:rPr>
  </w:style>
  <w:style w:type="character" w:customStyle="1" w:styleId="200">
    <w:name w:val="font51"/>
    <w:basedOn w:val="26"/>
    <w:qFormat/>
    <w:uiPriority w:val="0"/>
    <w:rPr>
      <w:rFonts w:hint="default" w:ascii="仿宋_GB2312" w:eastAsia="仿宋_GB2312" w:cs="仿宋_GB2312"/>
      <w:color w:val="000000"/>
      <w:sz w:val="21"/>
      <w:szCs w:val="21"/>
      <w:u w:val="none"/>
    </w:rPr>
  </w:style>
  <w:style w:type="character" w:customStyle="1" w:styleId="201">
    <w:name w:val="font111"/>
    <w:basedOn w:val="26"/>
    <w:qFormat/>
    <w:uiPriority w:val="0"/>
    <w:rPr>
      <w:rFonts w:hint="default" w:ascii="仿宋_GB2312" w:eastAsia="仿宋_GB2312" w:cs="仿宋_GB2312"/>
      <w:b/>
      <w:color w:val="000000"/>
      <w:sz w:val="21"/>
      <w:szCs w:val="21"/>
      <w:u w:val="none"/>
    </w:rPr>
  </w:style>
  <w:style w:type="character" w:customStyle="1" w:styleId="202">
    <w:name w:val="font121"/>
    <w:basedOn w:val="26"/>
    <w:qFormat/>
    <w:uiPriority w:val="0"/>
    <w:rPr>
      <w:rFonts w:hint="default" w:ascii="仿宋_GB2312" w:eastAsia="仿宋_GB2312" w:cs="仿宋_GB2312"/>
      <w:b/>
      <w:color w:val="000000"/>
      <w:sz w:val="21"/>
      <w:szCs w:val="21"/>
      <w:u w:val="none"/>
    </w:rPr>
  </w:style>
  <w:style w:type="character" w:customStyle="1" w:styleId="203">
    <w:name w:val="font161"/>
    <w:basedOn w:val="26"/>
    <w:qFormat/>
    <w:uiPriority w:val="0"/>
    <w:rPr>
      <w:rFonts w:hint="default" w:ascii="Times New Roman" w:hAnsi="Times New Roman" w:cs="Times New Roman"/>
      <w:color w:val="000000"/>
      <w:sz w:val="21"/>
      <w:szCs w:val="21"/>
      <w:u w:val="none"/>
    </w:rPr>
  </w:style>
  <w:style w:type="paragraph" w:customStyle="1" w:styleId="204">
    <w:name w:val="Table Paragraph"/>
    <w:basedOn w:val="1"/>
    <w:qFormat/>
    <w:uiPriority w:val="1"/>
    <w:pPr>
      <w:jc w:val="center"/>
    </w:pPr>
    <w:rPr>
      <w:rFonts w:ascii="仿宋_GB2312" w:hAnsi="仿宋_GB2312" w:eastAsia="仿宋_GB2312" w:cs="仿宋_GB2312"/>
      <w:lang w:val="zh-CN" w:eastAsia="zh-CN" w:bidi="zh-CN"/>
    </w:rPr>
  </w:style>
  <w:style w:type="character" w:customStyle="1" w:styleId="205">
    <w:name w:val="font61"/>
    <w:basedOn w:val="26"/>
    <w:qFormat/>
    <w:uiPriority w:val="0"/>
    <w:rPr>
      <w:rFonts w:hint="default" w:ascii="仿宋_GB2312" w:eastAsia="仿宋_GB2312" w:cs="仿宋_GB2312"/>
      <w:color w:val="000000"/>
      <w:sz w:val="21"/>
      <w:szCs w:val="21"/>
      <w:u w:val="none"/>
    </w:rPr>
  </w:style>
  <w:style w:type="paragraph" w:customStyle="1" w:styleId="206">
    <w:name w:val="_正文格式"/>
    <w:basedOn w:val="1"/>
    <w:qFormat/>
    <w:uiPriority w:val="0"/>
    <w:pPr>
      <w:spacing w:line="560" w:lineRule="exact"/>
      <w:ind w:firstLine="567"/>
    </w:pPr>
    <w:rPr>
      <w:rFonts w:ascii="仿宋_GB2312" w:eastAsia="仿宋_GB2312"/>
      <w:sz w:val="28"/>
    </w:rPr>
  </w:style>
  <w:style w:type="character" w:customStyle="1" w:styleId="207">
    <w:name w:val="font81"/>
    <w:basedOn w:val="26"/>
    <w:qFormat/>
    <w:uiPriority w:val="0"/>
    <w:rPr>
      <w:rFonts w:hint="default" w:ascii="仿宋_GB2312" w:eastAsia="仿宋_GB2312" w:cs="仿宋_GB2312"/>
      <w:b/>
      <w:color w:val="000000"/>
      <w:sz w:val="21"/>
      <w:szCs w:val="21"/>
      <w:u w:val="none"/>
    </w:rPr>
  </w:style>
  <w:style w:type="paragraph" w:customStyle="1" w:styleId="208">
    <w:name w:val="正文11"/>
    <w:basedOn w:val="1"/>
    <w:qFormat/>
    <w:uiPriority w:val="99"/>
    <w:pPr>
      <w:adjustRightInd w:val="0"/>
      <w:snapToGrid w:val="0"/>
      <w:spacing w:line="500" w:lineRule="atLeast"/>
      <w:ind w:firstLine="567" w:firstLineChars="0"/>
      <w:jc w:val="both"/>
      <w:textAlignment w:val="auto"/>
    </w:pPr>
  </w:style>
  <w:style w:type="paragraph" w:customStyle="1" w:styleId="209">
    <w:name w:val="547618884"/>
    <w:basedOn w:val="1"/>
    <w:qFormat/>
    <w:uiPriority w:val="0"/>
    <w:pPr>
      <w:spacing w:line="360" w:lineRule="auto"/>
      <w:ind w:firstLine="480" w:firstLineChars="200"/>
    </w:pPr>
    <w:rPr>
      <w:rFonts w:ascii="宋体" w:hAnsi="宋体" w:eastAsia="宋体" w:cs="Arial"/>
      <w:bCs/>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E00E17-06FA-467B-83B1-57446C3D63EE}">
  <ds:schemaRefs/>
</ds:datastoreItem>
</file>

<file path=docProps/app.xml><?xml version="1.0" encoding="utf-8"?>
<Properties xmlns="http://schemas.openxmlformats.org/officeDocument/2006/extended-properties" xmlns:vt="http://schemas.openxmlformats.org/officeDocument/2006/docPropsVTypes">
  <Template>Normal</Template>
  <Company>NIDR</Company>
  <Pages>1</Pages>
  <Words>887</Words>
  <Characters>5061</Characters>
  <Lines>42</Lines>
  <Paragraphs>11</Paragraphs>
  <TotalTime>5</TotalTime>
  <ScaleCrop>false</ScaleCrop>
  <LinksUpToDate>false</LinksUpToDate>
  <CharactersWithSpaces>5937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2019-05-23T01:22:00Z</dcterms:created>
  <dc:creator>lenovo</dc:creator>
  <cp:lastModifiedBy>杨洋</cp:lastModifiedBy>
  <cp:lastPrinted>2019-11-04T11:34:00Z</cp:lastPrinted>
  <dcterms:modified xsi:type="dcterms:W3CDTF">2021-09-11T10:32:23Z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