
<file path=[Content_Types].xml><?xml version="1.0" encoding="utf-8"?>
<Types xmlns="http://schemas.openxmlformats.org/package/2006/content-types">
  <Default Extension="xml" ContentType="application/xml"/>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Lines="50" w:line="160" w:lineRule="atLeast"/>
        <w:ind w:firstLine="386" w:firstLineChars="160"/>
        <w:jc w:val="center"/>
        <w:rPr>
          <w:rFonts w:cs="Times New Roman"/>
          <w:b/>
          <w:kern w:val="0"/>
        </w:rPr>
      </w:pPr>
      <w:bookmarkStart w:id="0" w:name="_Toc485124291"/>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snapToGrid w:val="0"/>
        <w:jc w:val="center"/>
        <w:rPr>
          <w:rFonts w:hint="eastAsia" w:ascii="楷体" w:hAnsi="楷体" w:eastAsia="楷体" w:cs="楷体"/>
          <w:sz w:val="36"/>
          <w:szCs w:val="36"/>
          <w:lang w:eastAsia="zh-CN"/>
        </w:rPr>
      </w:pPr>
      <w:r>
        <w:rPr>
          <w:rFonts w:hint="eastAsia" w:ascii="楷体" w:hAnsi="楷体" w:eastAsia="楷体" w:cs="楷体"/>
          <w:sz w:val="36"/>
          <w:szCs w:val="36"/>
          <w:lang w:eastAsia="zh-CN"/>
        </w:rPr>
        <w:t>曲沃县诺航新型建材有限公司年产6000万块蒸压粉煤灰砖建设项目</w:t>
      </w:r>
    </w:p>
    <w:p>
      <w:pPr>
        <w:snapToGrid w:val="0"/>
        <w:jc w:val="center"/>
        <w:rPr>
          <w:rFonts w:hint="eastAsia" w:ascii="黑体" w:hAnsi="黑体" w:eastAsia="黑体" w:cs="Times New Roman"/>
          <w:spacing w:val="20"/>
          <w:sz w:val="84"/>
          <w:szCs w:val="84"/>
        </w:rPr>
      </w:pPr>
      <w:r>
        <w:rPr>
          <w:rFonts w:ascii="黑体" w:hAnsi="黑体" w:eastAsia="黑体" w:cs="Times New Roman"/>
          <w:spacing w:val="20"/>
          <w:sz w:val="84"/>
          <w:szCs w:val="84"/>
        </w:rPr>
        <w:t>水土保持方案报告</w:t>
      </w:r>
      <w:r>
        <w:rPr>
          <w:rFonts w:hint="eastAsia" w:ascii="黑体" w:hAnsi="黑体" w:eastAsia="黑体" w:cs="Times New Roman"/>
          <w:spacing w:val="20"/>
          <w:sz w:val="84"/>
          <w:szCs w:val="84"/>
        </w:rPr>
        <w:t>表</w:t>
      </w:r>
    </w:p>
    <w:p>
      <w:pPr>
        <w:snapToGrid w:val="0"/>
        <w:jc w:val="center"/>
        <w:rPr>
          <w:rFonts w:hint="eastAsia" w:ascii="楷体" w:hAnsi="楷体" w:eastAsia="楷体" w:cs="楷体"/>
          <w:spacing w:val="0"/>
          <w:kern w:val="2"/>
          <w:sz w:val="36"/>
          <w:szCs w:val="36"/>
          <w:lang w:val="en-US" w:eastAsia="zh-CN" w:bidi="ar-SA"/>
        </w:rPr>
      </w:pPr>
      <w:r>
        <w:rPr>
          <w:rFonts w:hint="eastAsia" w:ascii="楷体" w:hAnsi="楷体" w:eastAsia="楷体" w:cs="楷体"/>
          <w:spacing w:val="0"/>
          <w:kern w:val="2"/>
          <w:sz w:val="36"/>
          <w:szCs w:val="36"/>
          <w:lang w:val="en-US" w:eastAsia="zh-CN" w:bidi="ar-SA"/>
        </w:rPr>
        <w:t>（报批稿）</w:t>
      </w:r>
    </w:p>
    <w:p>
      <w:pPr>
        <w:jc w:val="center"/>
        <w:rPr>
          <w:rFonts w:eastAsia="方正魏碑简体"/>
          <w:sz w:val="36"/>
          <w:szCs w:val="36"/>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ind w:firstLine="456" w:firstLineChars="152"/>
        <w:rPr>
          <w:rFonts w:hint="eastAsia" w:cs="Times New Roman" w:asciiTheme="minorEastAsia" w:hAnsiTheme="minorEastAsia" w:eastAsiaTheme="minorEastAsia"/>
          <w:bCs/>
          <w:spacing w:val="-10"/>
          <w:sz w:val="32"/>
          <w:szCs w:val="32"/>
          <w:lang w:eastAsia="zh-CN"/>
        </w:rPr>
      </w:pPr>
      <w:r>
        <w:rPr>
          <w:rFonts w:cs="Times New Roman" w:asciiTheme="minorEastAsia" w:hAnsiTheme="minorEastAsia"/>
          <w:bCs/>
          <w:spacing w:val="-10"/>
          <w:sz w:val="32"/>
          <w:szCs w:val="32"/>
        </w:rPr>
        <w:t>项目建设单位：</w:t>
      </w:r>
      <w:r>
        <w:rPr>
          <w:rFonts w:hint="eastAsia" w:cs="Times New Roman" w:asciiTheme="minorEastAsia" w:hAnsiTheme="minorEastAsia"/>
          <w:bCs/>
          <w:spacing w:val="-10"/>
          <w:sz w:val="32"/>
          <w:szCs w:val="32"/>
          <w:lang w:eastAsia="zh-CN"/>
        </w:rPr>
        <w:t>曲沃县诺航新型建材有限公司</w:t>
      </w:r>
    </w:p>
    <w:p>
      <w:pPr>
        <w:ind w:firstLine="462" w:firstLineChars="152"/>
        <w:rPr>
          <w:rFonts w:hint="eastAsia" w:cs="Times New Roman" w:asciiTheme="minorEastAsia" w:hAnsiTheme="minorEastAsia" w:eastAsiaTheme="minorEastAsia"/>
          <w:bCs/>
          <w:spacing w:val="-8"/>
          <w:sz w:val="32"/>
          <w:szCs w:val="32"/>
          <w:lang w:eastAsia="zh-CN"/>
        </w:rPr>
      </w:pPr>
      <w:r>
        <w:rPr>
          <w:rFonts w:cs="Times New Roman" w:asciiTheme="minorEastAsia" w:hAnsiTheme="minorEastAsia"/>
          <w:bCs/>
          <w:spacing w:val="-8"/>
          <w:sz w:val="32"/>
          <w:szCs w:val="32"/>
        </w:rPr>
        <w:t>方案编制单位：</w:t>
      </w:r>
      <w:r>
        <w:rPr>
          <w:rFonts w:hint="eastAsia" w:cs="Times New Roman" w:asciiTheme="minorEastAsia" w:hAnsiTheme="minorEastAsia"/>
          <w:bCs/>
          <w:spacing w:val="-10"/>
          <w:sz w:val="32"/>
          <w:szCs w:val="32"/>
          <w:lang w:eastAsia="zh-CN"/>
        </w:rPr>
        <w:t>曲沃县诺航新型建材有限公司</w:t>
      </w:r>
    </w:p>
    <w:p>
      <w:pPr>
        <w:adjustRightInd w:val="0"/>
        <w:snapToGrid w:val="0"/>
        <w:jc w:val="center"/>
        <w:rPr>
          <w:rFonts w:cs="Times New Roman" w:asciiTheme="minorEastAsia" w:hAnsiTheme="minorEastAsia"/>
          <w:sz w:val="32"/>
          <w:szCs w:val="32"/>
        </w:rPr>
      </w:pPr>
      <w:r>
        <w:rPr>
          <w:rFonts w:cs="Times New Roman" w:asciiTheme="minorEastAsia" w:hAnsiTheme="minorEastAsia"/>
          <w:sz w:val="32"/>
          <w:szCs w:val="32"/>
        </w:rPr>
        <w:t>二〇二</w:t>
      </w:r>
      <w:r>
        <w:rPr>
          <w:rFonts w:hint="eastAsia" w:cs="Times New Roman" w:asciiTheme="minorEastAsia" w:hAnsiTheme="minorEastAsia"/>
          <w:sz w:val="32"/>
          <w:szCs w:val="32"/>
          <w:lang w:eastAsia="zh-CN"/>
        </w:rPr>
        <w:t>一</w:t>
      </w:r>
      <w:r>
        <w:rPr>
          <w:rFonts w:cs="Times New Roman" w:asciiTheme="minorEastAsia" w:hAnsiTheme="minorEastAsia"/>
          <w:sz w:val="32"/>
          <w:szCs w:val="32"/>
        </w:rPr>
        <w:t>年</w:t>
      </w:r>
      <w:r>
        <w:rPr>
          <w:rFonts w:hint="eastAsia" w:cs="Times New Roman" w:asciiTheme="minorEastAsia" w:hAnsiTheme="minorEastAsia"/>
          <w:sz w:val="32"/>
          <w:szCs w:val="32"/>
          <w:lang w:eastAsia="zh-CN"/>
        </w:rPr>
        <w:t>四</w:t>
      </w:r>
      <w:r>
        <w:rPr>
          <w:rFonts w:cs="Times New Roman" w:asciiTheme="minorEastAsia" w:hAnsiTheme="minorEastAsia"/>
          <w:sz w:val="32"/>
          <w:szCs w:val="32"/>
        </w:rPr>
        <w:t>月</w:t>
      </w:r>
    </w:p>
    <w:p>
      <w:pPr>
        <w:pStyle w:val="39"/>
        <w:sectPr>
          <w:footerReference r:id="rId3" w:type="default"/>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39"/>
        <w:spacing w:line="240" w:lineRule="auto"/>
        <w:ind w:firstLine="1054" w:firstLineChars="350"/>
      </w:pPr>
    </w:p>
    <w:p>
      <w:pPr>
        <w:pStyle w:val="39"/>
        <w:jc w:val="center"/>
        <w:rPr>
          <w:rFonts w:hint="eastAsia" w:cs="Times New Roman" w:asciiTheme="minorEastAsia" w:hAnsiTheme="minorEastAsia" w:eastAsiaTheme="minorEastAsia"/>
          <w:b/>
          <w:bCs/>
          <w:kern w:val="0"/>
          <w:sz w:val="44"/>
          <w:szCs w:val="44"/>
          <w:lang w:val="en-US" w:eastAsia="zh-CN" w:bidi="ar-SA"/>
        </w:rPr>
      </w:pPr>
      <w:r>
        <w:rPr>
          <w:rFonts w:hint="eastAsia" w:cs="Times New Roman" w:asciiTheme="minorEastAsia" w:hAnsiTheme="minorEastAsia" w:eastAsiaTheme="minorEastAsia"/>
          <w:b/>
          <w:bCs/>
          <w:kern w:val="0"/>
          <w:sz w:val="44"/>
          <w:szCs w:val="44"/>
          <w:lang w:val="en-US" w:eastAsia="zh-CN" w:bidi="ar-SA"/>
        </w:rPr>
        <w:t>曲沃县诺航新型建材有限公司年产6000万块蒸压粉煤灰砖建设项目</w:t>
      </w:r>
    </w:p>
    <w:p>
      <w:pPr>
        <w:pStyle w:val="39"/>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责任页</w:t>
      </w:r>
    </w:p>
    <w:p>
      <w:pPr>
        <w:pStyle w:val="39"/>
        <w:jc w:val="center"/>
        <w:rPr>
          <w:rFonts w:hint="eastAsia" w:eastAsia="方正小标宋简体"/>
          <w:b w:val="0"/>
          <w:bCs w:val="0"/>
          <w:spacing w:val="-8"/>
          <w:szCs w:val="30"/>
          <w:lang w:eastAsia="zh-CN"/>
        </w:rPr>
      </w:pPr>
      <w:r>
        <w:rPr>
          <w:rFonts w:hint="eastAsia" w:eastAsia="方正小标宋简体"/>
          <w:b w:val="0"/>
          <w:bCs w:val="0"/>
          <w:spacing w:val="-8"/>
          <w:szCs w:val="30"/>
          <w:lang w:eastAsia="zh-CN"/>
        </w:rPr>
        <w:t>曲沃县诺航新型建材有限公司</w:t>
      </w:r>
    </w:p>
    <w:p>
      <w:pPr>
        <w:pStyle w:val="39"/>
        <w:jc w:val="center"/>
        <w:rPr>
          <w:rFonts w:hint="eastAsia" w:eastAsia="方正小标宋简体"/>
          <w:b w:val="0"/>
          <w:bCs w:val="0"/>
          <w:spacing w:val="-8"/>
          <w:szCs w:val="30"/>
        </w:rPr>
      </w:pPr>
    </w:p>
    <w:bookmarkEnd w:id="0"/>
    <w:p>
      <w:pPr>
        <w:pStyle w:val="39"/>
        <w:jc w:val="center"/>
        <w:rPr>
          <w:rFonts w:hint="eastAsia" w:eastAsia="方正小标宋简体"/>
          <w:b w:val="0"/>
          <w:bCs w:val="0"/>
          <w:spacing w:val="-8"/>
          <w:szCs w:val="30"/>
        </w:rPr>
      </w:pPr>
      <w:bookmarkStart w:id="1" w:name="_Toc510511009"/>
      <w:bookmarkStart w:id="2" w:name="_Toc1117816"/>
      <w:bookmarkStart w:id="3" w:name="_Toc485124292"/>
      <w:bookmarkStart w:id="4" w:name="_Toc501443567"/>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审      查：</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（总经理）</w:t>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校      核：</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项目负责人：</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lang w:val="en-US" w:eastAsia="zh-CN"/>
        </w:rPr>
        <w:drawing>
          <wp:anchor distT="0" distB="0" distL="114300" distR="114300" simplePos="0" relativeHeight="251683840" behindDoc="0" locked="0" layoutInCell="1" allowOverlap="1">
            <wp:simplePos x="0" y="0"/>
            <wp:positionH relativeFrom="column">
              <wp:posOffset>1541145</wp:posOffset>
            </wp:positionH>
            <wp:positionV relativeFrom="paragraph">
              <wp:posOffset>142875</wp:posOffset>
            </wp:positionV>
            <wp:extent cx="553085" cy="474345"/>
            <wp:effectExtent l="0" t="0" r="18415" b="1905"/>
            <wp:wrapNone/>
            <wp:docPr id="8" name="图片 8" descr="杨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杨凡"/>
                    <pic:cNvPicPr>
                      <a:picLocks noChangeAspect="1"/>
                    </pic:cNvPicPr>
                  </pic:nvPicPr>
                  <pic:blipFill>
                    <a:blip r:embed="rId8"/>
                    <a:stretch>
                      <a:fillRect/>
                    </a:stretch>
                  </pic:blipFill>
                  <pic:spPr>
                    <a:xfrm>
                      <a:off x="0" y="0"/>
                      <a:ext cx="553085" cy="474345"/>
                    </a:xfrm>
                    <a:prstGeom prst="rect">
                      <a:avLst/>
                    </a:prstGeom>
                  </pic:spPr>
                </pic:pic>
              </a:graphicData>
            </a:graphic>
          </wp:anchor>
        </w:drawing>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编      写：</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r>
        <w:rPr>
          <w:rFonts w:hint="eastAsia" w:asciiTheme="minorEastAsia" w:hAnsiTheme="minorEastAsia" w:eastAsiaTheme="minorEastAsia"/>
          <w:b w:val="0"/>
          <w:bCs/>
          <w:spacing w:val="-8"/>
          <w:sz w:val="28"/>
          <w:szCs w:val="30"/>
        </w:rPr>
        <w:t xml:space="preserve">  （报告表全部内容）</w:t>
      </w:r>
    </w:p>
    <w:p>
      <w:pPr>
        <w:pStyle w:val="39"/>
        <w:keepNext w:val="0"/>
        <w:keepLines w:val="0"/>
        <w:pageBreakBefore w:val="0"/>
        <w:widowControl w:val="0"/>
        <w:kinsoku/>
        <w:wordWrap/>
        <w:overflowPunct/>
        <w:topLinePunct w:val="0"/>
        <w:autoSpaceDE/>
        <w:autoSpaceDN/>
        <w:bidi w:val="0"/>
        <w:adjustRightInd w:val="0"/>
        <w:snapToGrid w:val="0"/>
        <w:spacing w:line="360" w:lineRule="auto"/>
        <w:textAlignment w:val="auto"/>
        <w:sectPr>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48"/>
        <w:keepNext w:val="0"/>
        <w:keepLines w:val="0"/>
        <w:pageBreakBefore w:val="0"/>
        <w:widowControl w:val="0"/>
        <w:kinsoku/>
        <w:wordWrap/>
        <w:overflowPunct/>
        <w:topLinePunct w:val="0"/>
        <w:autoSpaceDE/>
        <w:autoSpaceDN/>
        <w:bidi w:val="0"/>
        <w:adjustRightInd/>
        <w:snapToGrid/>
        <w:jc w:val="center"/>
        <w:textAlignment w:val="auto"/>
        <w:rPr>
          <w:spacing w:val="-20"/>
          <w:sz w:val="28"/>
        </w:rPr>
      </w:pPr>
      <w:r>
        <w:rPr>
          <w:rFonts w:hint="eastAsia" w:cs="宋体" w:asciiTheme="minorEastAsia" w:hAnsiTheme="minorEastAsia"/>
          <w:spacing w:val="-20"/>
          <w:kern w:val="0"/>
          <w:sz w:val="28"/>
          <w:szCs w:val="24"/>
          <w:u w:val="single"/>
          <w:lang w:eastAsia="zh-CN"/>
        </w:rPr>
        <w:t>曲沃县诺航新型建材有限公司年产6000万块蒸压粉煤灰砖建设项目</w:t>
      </w:r>
      <w:r>
        <w:rPr>
          <w:spacing w:val="-20"/>
          <w:sz w:val="28"/>
        </w:rPr>
        <w:t>水土保持方案</w:t>
      </w:r>
      <w:r>
        <w:rPr>
          <w:rFonts w:hint="eastAsia"/>
          <w:spacing w:val="-20"/>
          <w:sz w:val="28"/>
        </w:rPr>
        <w:t>报告</w:t>
      </w:r>
      <w:r>
        <w:rPr>
          <w:spacing w:val="-20"/>
          <w:sz w:val="28"/>
        </w:rPr>
        <w:t>表</w:t>
      </w:r>
    </w:p>
    <w:tbl>
      <w:tblPr>
        <w:tblStyle w:val="24"/>
        <w:tblW w:w="9220" w:type="dxa"/>
        <w:tblInd w:w="103" w:type="dxa"/>
        <w:tblLayout w:type="fixed"/>
        <w:tblCellMar>
          <w:top w:w="0" w:type="dxa"/>
          <w:left w:w="108" w:type="dxa"/>
          <w:bottom w:w="0" w:type="dxa"/>
          <w:right w:w="108" w:type="dxa"/>
        </w:tblCellMar>
      </w:tblPr>
      <w:tblGrid>
        <w:gridCol w:w="892"/>
        <w:gridCol w:w="1422"/>
        <w:gridCol w:w="899"/>
        <w:gridCol w:w="1929"/>
        <w:gridCol w:w="1921"/>
        <w:gridCol w:w="2157"/>
      </w:tblGrid>
      <w:tr>
        <w:tblPrEx>
          <w:tblCellMar>
            <w:top w:w="0" w:type="dxa"/>
            <w:left w:w="108" w:type="dxa"/>
            <w:bottom w:w="0" w:type="dxa"/>
            <w:right w:w="108" w:type="dxa"/>
          </w:tblCellMar>
        </w:tblPrEx>
        <w:trPr>
          <w:trHeight w:val="677" w:hRule="atLeast"/>
        </w:trPr>
        <w:tc>
          <w:tcPr>
            <w:tcW w:w="8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项目概况</w:t>
            </w:r>
          </w:p>
        </w:tc>
        <w:tc>
          <w:tcPr>
            <w:tcW w:w="142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位置</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曲沃县诺航新型建材有限公司年产6000万块蒸压粉煤灰砖建设项目地址位于山西省临汾市曲沃县高显镇安居村西1km，行政区划隶属高显镇管辖。其场地中心地理坐标为北纬35°41'13.9"，东经111°27'46.3"。</w:t>
            </w:r>
          </w:p>
        </w:tc>
      </w:tr>
      <w:tr>
        <w:tblPrEx>
          <w:tblCellMar>
            <w:top w:w="0" w:type="dxa"/>
            <w:left w:w="108" w:type="dxa"/>
            <w:bottom w:w="0" w:type="dxa"/>
            <w:right w:w="108" w:type="dxa"/>
          </w:tblCellMar>
        </w:tblPrEx>
        <w:trPr>
          <w:trHeight w:val="9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建设内容</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年产</w:t>
            </w:r>
            <w:r>
              <w:rPr>
                <w:rFonts w:hint="eastAsia" w:ascii="仿宋" w:hAnsi="仿宋" w:eastAsia="仿宋" w:cs="仿宋"/>
                <w:kern w:val="0"/>
                <w:sz w:val="21"/>
                <w:szCs w:val="21"/>
                <w:lang w:val="en-US" w:eastAsia="zh-CN"/>
              </w:rPr>
              <w:t>6000万块蒸压粉煤灰砖生产线一条、厂房、办公室、化验室</w:t>
            </w:r>
            <w:r>
              <w:rPr>
                <w:rFonts w:hint="eastAsia" w:ascii="仿宋" w:hAnsi="仿宋" w:eastAsia="仿宋" w:cs="仿宋"/>
                <w:kern w:val="0"/>
                <w:sz w:val="21"/>
                <w:szCs w:val="21"/>
              </w:rPr>
              <w:t>等设施。</w:t>
            </w:r>
          </w:p>
        </w:tc>
      </w:tr>
      <w:tr>
        <w:tblPrEx>
          <w:tblCellMar>
            <w:top w:w="0" w:type="dxa"/>
            <w:left w:w="108" w:type="dxa"/>
            <w:bottom w:w="0" w:type="dxa"/>
            <w:right w:w="108" w:type="dxa"/>
          </w:tblCellMar>
        </w:tblPrEx>
        <w:trPr>
          <w:trHeight w:val="25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建设性质</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新建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总投资（万元）</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900</w:t>
            </w:r>
          </w:p>
        </w:tc>
      </w:tr>
      <w:tr>
        <w:tblPrEx>
          <w:tblCellMar>
            <w:top w:w="0" w:type="dxa"/>
            <w:left w:w="108" w:type="dxa"/>
            <w:bottom w:w="0" w:type="dxa"/>
            <w:right w:w="108" w:type="dxa"/>
          </w:tblCellMar>
        </w:tblPrEx>
        <w:trPr>
          <w:trHeight w:val="291"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土建投资</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（万元）</w:t>
            </w:r>
          </w:p>
        </w:tc>
        <w:tc>
          <w:tcPr>
            <w:tcW w:w="282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180</w:t>
            </w:r>
          </w:p>
        </w:tc>
        <w:tc>
          <w:tcPr>
            <w:tcW w:w="192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占地面积（hm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永久：</w:t>
            </w:r>
            <w:r>
              <w:rPr>
                <w:rFonts w:hint="eastAsia" w:ascii="仿宋" w:hAnsi="仿宋" w:eastAsia="仿宋" w:cs="仿宋"/>
                <w:kern w:val="0"/>
                <w:sz w:val="21"/>
                <w:szCs w:val="21"/>
                <w:lang w:val="en-US" w:eastAsia="zh-CN"/>
              </w:rPr>
              <w:t>3.25hm</w:t>
            </w:r>
            <w:r>
              <w:rPr>
                <w:rFonts w:hint="eastAsia" w:ascii="仿宋" w:hAnsi="仿宋" w:eastAsia="仿宋" w:cs="仿宋"/>
                <w:kern w:val="0"/>
                <w:sz w:val="21"/>
                <w:szCs w:val="21"/>
                <w:vertAlign w:val="superscript"/>
                <w:lang w:val="en-US" w:eastAsia="zh-CN"/>
              </w:rPr>
              <w:t>2</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2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临时：</w:t>
            </w:r>
            <w:r>
              <w:rPr>
                <w:rFonts w:hint="eastAsia" w:ascii="仿宋" w:hAnsi="仿宋" w:eastAsia="仿宋" w:cs="仿宋"/>
                <w:kern w:val="0"/>
                <w:sz w:val="21"/>
                <w:szCs w:val="21"/>
                <w:lang w:val="en-US" w:eastAsia="zh-CN"/>
              </w:rPr>
              <w:t>0.03hm</w:t>
            </w:r>
            <w:r>
              <w:rPr>
                <w:rFonts w:hint="eastAsia" w:ascii="仿宋" w:hAnsi="仿宋" w:eastAsia="仿宋" w:cs="仿宋"/>
                <w:kern w:val="0"/>
                <w:sz w:val="21"/>
                <w:szCs w:val="21"/>
                <w:vertAlign w:val="superscript"/>
                <w:lang w:val="en-US" w:eastAsia="zh-CN"/>
              </w:rPr>
              <w:t>2</w:t>
            </w:r>
          </w:p>
        </w:tc>
      </w:tr>
      <w:tr>
        <w:tblPrEx>
          <w:tblCellMar>
            <w:top w:w="0" w:type="dxa"/>
            <w:left w:w="108" w:type="dxa"/>
            <w:bottom w:w="0" w:type="dxa"/>
            <w:right w:w="108" w:type="dxa"/>
          </w:tblCellMar>
        </w:tblPrEx>
        <w:trPr>
          <w:trHeight w:val="19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动工时间</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18</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7</w:t>
            </w:r>
            <w:r>
              <w:rPr>
                <w:rFonts w:hint="eastAsia" w:ascii="仿宋" w:hAnsi="仿宋" w:eastAsia="仿宋" w:cs="仿宋"/>
                <w:kern w:val="0"/>
                <w:sz w:val="21"/>
                <w:szCs w:val="21"/>
              </w:rPr>
              <w:t>月</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完工时间</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21</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12</w:t>
            </w:r>
            <w:r>
              <w:rPr>
                <w:rFonts w:hint="eastAsia" w:ascii="仿宋" w:hAnsi="仿宋" w:eastAsia="仿宋" w:cs="仿宋"/>
                <w:kern w:val="0"/>
                <w:sz w:val="21"/>
                <w:szCs w:val="21"/>
              </w:rPr>
              <w:t>月</w:t>
            </w:r>
          </w:p>
        </w:tc>
      </w:tr>
      <w:tr>
        <w:tblPrEx>
          <w:tblCellMar>
            <w:top w:w="0" w:type="dxa"/>
            <w:left w:w="108" w:type="dxa"/>
            <w:bottom w:w="0" w:type="dxa"/>
            <w:right w:w="108" w:type="dxa"/>
          </w:tblCellMar>
        </w:tblPrEx>
        <w:trPr>
          <w:trHeight w:val="23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土石方</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（万m</w:t>
            </w:r>
            <w:r>
              <w:rPr>
                <w:rFonts w:hint="eastAsia" w:ascii="仿宋" w:hAnsi="仿宋" w:eastAsia="仿宋" w:cs="仿宋"/>
                <w:kern w:val="0"/>
                <w:sz w:val="21"/>
                <w:szCs w:val="21"/>
                <w:vertAlign w:val="superscript"/>
              </w:rPr>
              <w:t>3</w:t>
            </w:r>
            <w:r>
              <w:rPr>
                <w:rFonts w:hint="eastAsia" w:ascii="仿宋" w:hAnsi="仿宋" w:eastAsia="仿宋" w:cs="仿宋"/>
                <w:kern w:val="0"/>
                <w:sz w:val="21"/>
                <w:szCs w:val="21"/>
              </w:rPr>
              <w:t>）</w:t>
            </w: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挖方</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填方</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借方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余（弃）方</w:t>
            </w:r>
          </w:p>
        </w:tc>
      </w:tr>
      <w:tr>
        <w:tblPrEx>
          <w:tblCellMar>
            <w:top w:w="0" w:type="dxa"/>
            <w:left w:w="108" w:type="dxa"/>
            <w:bottom w:w="0" w:type="dxa"/>
            <w:right w:w="108" w:type="dxa"/>
          </w:tblCellMar>
        </w:tblPrEx>
        <w:trPr>
          <w:trHeight w:val="222"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0.75</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0.75</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r>
      <w:tr>
        <w:tblPrEx>
          <w:tblCellMar>
            <w:top w:w="0" w:type="dxa"/>
            <w:left w:w="108" w:type="dxa"/>
            <w:bottom w:w="0" w:type="dxa"/>
            <w:right w:w="108" w:type="dxa"/>
          </w:tblCellMar>
        </w:tblPrEx>
        <w:trPr>
          <w:trHeight w:val="14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取土场</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弃土场</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553"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项目区概况</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涉及重点防治区情况</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山西省</w:t>
            </w:r>
            <w:r>
              <w:rPr>
                <w:rFonts w:hint="eastAsia" w:ascii="仿宋" w:hAnsi="仿宋" w:eastAsia="仿宋" w:cs="仿宋"/>
                <w:kern w:val="0"/>
                <w:sz w:val="21"/>
                <w:szCs w:val="21"/>
              </w:rPr>
              <w:t>水土流失预防保护区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地貌类型</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eastAsia="仿宋_GB2312"/>
                <w:szCs w:val="21"/>
                <w:lang w:eastAsia="zh-CN"/>
              </w:rPr>
              <w:t>黄土高原区</w:t>
            </w:r>
          </w:p>
        </w:tc>
      </w:tr>
      <w:tr>
        <w:tblPrEx>
          <w:tblCellMar>
            <w:top w:w="0" w:type="dxa"/>
            <w:left w:w="108" w:type="dxa"/>
            <w:bottom w:w="0" w:type="dxa"/>
            <w:right w:w="108" w:type="dxa"/>
          </w:tblCellMar>
        </w:tblPrEx>
        <w:trPr>
          <w:trHeight w:val="416"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原地貌土壤侵蚀模数[t/(km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1500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容许土壤流失量[t/(km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1000</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项目选址（线）水土保持评价</w:t>
            </w:r>
          </w:p>
        </w:tc>
        <w:tc>
          <w:tcPr>
            <w:tcW w:w="6906" w:type="dxa"/>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工</w:t>
            </w:r>
            <w:r>
              <w:rPr>
                <w:rFonts w:hint="eastAsia" w:ascii="仿宋" w:hAnsi="仿宋" w:eastAsia="仿宋" w:cs="仿宋"/>
                <w:kern w:val="0"/>
                <w:sz w:val="21"/>
                <w:szCs w:val="21"/>
              </w:rPr>
              <w:t>程选址不属于河流两岸、湖泊和水库周边的植物保护带；不处于全国水土保持监测网络中的水土保持监测站点，重点试验区及国家确定的水土保持长期定位观测站；处于山西省省级水土流失重点预防保护区，可通过提高防治标准指标值，并加强水土保持措施，减轻工程建设水土流失影响。因此，从水土保持角度分析工程选址合理。</w:t>
            </w:r>
          </w:p>
        </w:tc>
      </w:tr>
      <w:tr>
        <w:tblPrEx>
          <w:tblCellMar>
            <w:top w:w="0" w:type="dxa"/>
            <w:left w:w="108" w:type="dxa"/>
            <w:bottom w:w="0" w:type="dxa"/>
            <w:right w:w="108" w:type="dxa"/>
          </w:tblCellMar>
        </w:tblPrEx>
        <w:trPr>
          <w:trHeight w:val="161"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预测水土流失总量(t)</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442.41</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防治责任范围（hm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3.28</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rPr>
              <w:t>防治标准等级及</w:t>
            </w:r>
            <w:r>
              <w:rPr>
                <w:rFonts w:hint="eastAsia" w:ascii="仿宋" w:hAnsi="仿宋" w:eastAsia="仿宋" w:cs="仿宋"/>
                <w:kern w:val="0"/>
                <w:sz w:val="21"/>
                <w:szCs w:val="21"/>
                <w:lang w:eastAsia="zh-CN"/>
              </w:rPr>
              <w:t>指标</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防治标准等级</w:t>
            </w:r>
          </w:p>
        </w:tc>
        <w:tc>
          <w:tcPr>
            <w:tcW w:w="600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西北黄土高原区水土流失防治一级标准</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水土流失治理度（%）</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93</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土壤流失控制比</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r>
      <w:tr>
        <w:tblPrEx>
          <w:tblCellMar>
            <w:top w:w="0" w:type="dxa"/>
            <w:left w:w="108" w:type="dxa"/>
            <w:bottom w:w="0" w:type="dxa"/>
            <w:right w:w="108" w:type="dxa"/>
          </w:tblCellMar>
        </w:tblPrEx>
        <w:trPr>
          <w:trHeight w:val="181"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渣土拦护率（%）</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表土保护率（%）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90</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林草植被恢复率（%）</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林草覆盖率（%）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11</w:t>
            </w:r>
          </w:p>
        </w:tc>
      </w:tr>
      <w:tr>
        <w:tblPrEx>
          <w:tblCellMar>
            <w:top w:w="0" w:type="dxa"/>
            <w:left w:w="108" w:type="dxa"/>
            <w:bottom w:w="0" w:type="dxa"/>
            <w:right w:w="108" w:type="dxa"/>
          </w:tblCellMar>
        </w:tblPrEx>
        <w:trPr>
          <w:trHeight w:val="109" w:hRule="atLeast"/>
        </w:trPr>
        <w:tc>
          <w:tcPr>
            <w:tcW w:w="89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水土保持措施</w:t>
            </w:r>
          </w:p>
        </w:tc>
        <w:tc>
          <w:tcPr>
            <w:tcW w:w="8328" w:type="dxa"/>
            <w:gridSpan w:val="5"/>
            <w:tcBorders>
              <w:top w:val="single" w:color="auto" w:sz="4" w:space="0"/>
              <w:left w:val="nil"/>
              <w:bottom w:val="single" w:color="auto" w:sz="4" w:space="0"/>
              <w:right w:val="single" w:color="000000" w:sz="4" w:space="0"/>
            </w:tcBorders>
            <w:shd w:val="clear" w:color="auto" w:fill="auto"/>
            <w:vAlign w:val="center"/>
          </w:tcPr>
          <w:p>
            <w:pPr>
              <w:pStyle w:val="43"/>
              <w:keepNext w:val="0"/>
              <w:keepLines w:val="0"/>
              <w:pageBreakBefore w:val="0"/>
              <w:kinsoku/>
              <w:wordWrap/>
              <w:overflowPunct/>
              <w:topLinePunct w:val="0"/>
              <w:autoSpaceDE/>
              <w:autoSpaceDN/>
              <w:bidi w:val="0"/>
              <w:snapToGrid w:val="0"/>
              <w:spacing w:line="240" w:lineRule="auto"/>
              <w:ind w:firstLine="480"/>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工业场地：在场内西侧及南侧围墙处布置浆砌石（M10）排水沟380m并顺接至场地雨水收集池内</w:t>
            </w:r>
            <w:r>
              <w:rPr>
                <w:rFonts w:hint="default" w:ascii="仿宋" w:hAnsi="仿宋" w:eastAsia="仿宋" w:cs="仿宋"/>
                <w:kern w:val="0"/>
                <w:sz w:val="21"/>
                <w:szCs w:val="21"/>
                <w:lang w:val="en-US" w:eastAsia="zh-CN"/>
              </w:rPr>
              <w:t>。在围墙周边及</w:t>
            </w:r>
            <w:r>
              <w:rPr>
                <w:rFonts w:hint="eastAsia" w:ascii="仿宋" w:hAnsi="仿宋" w:eastAsia="仿宋" w:cs="仿宋"/>
                <w:kern w:val="0"/>
                <w:sz w:val="21"/>
                <w:szCs w:val="21"/>
                <w:lang w:val="en-US" w:eastAsia="zh-CN"/>
              </w:rPr>
              <w:t>场内空地</w:t>
            </w:r>
            <w:r>
              <w:rPr>
                <w:rFonts w:hint="default" w:ascii="仿宋" w:hAnsi="仿宋" w:eastAsia="仿宋" w:cs="仿宋"/>
                <w:kern w:val="0"/>
                <w:sz w:val="21"/>
                <w:szCs w:val="21"/>
                <w:lang w:val="en-US" w:eastAsia="zh-CN"/>
              </w:rPr>
              <w:t>布设绿化措施，绿化面积0.</w:t>
            </w:r>
            <w:r>
              <w:rPr>
                <w:rFonts w:hint="eastAsia" w:ascii="仿宋" w:hAnsi="仿宋" w:eastAsia="仿宋" w:cs="仿宋"/>
                <w:kern w:val="0"/>
                <w:sz w:val="21"/>
                <w:szCs w:val="21"/>
                <w:lang w:val="en-US" w:eastAsia="zh-CN"/>
              </w:rPr>
              <w:t>14</w:t>
            </w:r>
            <w:r>
              <w:rPr>
                <w:rFonts w:hint="default" w:ascii="仿宋" w:hAnsi="仿宋" w:eastAsia="仿宋" w:cs="仿宋"/>
                <w:kern w:val="0"/>
                <w:sz w:val="21"/>
                <w:szCs w:val="21"/>
                <w:lang w:val="en-US" w:eastAsia="zh-CN"/>
              </w:rPr>
              <w:t>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。对场地内的表土进行剥离并对放于设计绿化区域，用于后期绿化覆土，剥离厚度30cm，表土剥离面积0.35hm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，在围墙周边及场内空地布设绿化措施，绿化面积0.41hm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。考虑将堆土分段堆放于场内设计绿化区域，并进行苫盖处理，苫盖</w:t>
            </w:r>
            <w:r>
              <w:rPr>
                <w:rFonts w:hint="eastAsia" w:ascii="仿宋" w:hAnsi="仿宋" w:eastAsia="仿宋" w:cs="仿宋"/>
                <w:kern w:val="0"/>
                <w:sz w:val="21"/>
                <w:szCs w:val="21"/>
                <w:lang w:val="en-US" w:eastAsia="zh-CN"/>
              </w:rPr>
              <w:t>彩条布</w:t>
            </w:r>
            <w:r>
              <w:rPr>
                <w:rFonts w:hint="default" w:ascii="仿宋" w:hAnsi="仿宋" w:eastAsia="仿宋" w:cs="仿宋"/>
                <w:kern w:val="0"/>
                <w:sz w:val="21"/>
                <w:szCs w:val="21"/>
                <w:lang w:val="en-US" w:eastAsia="zh-CN"/>
              </w:rPr>
              <w:t>650m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w:t>
            </w:r>
            <w:r>
              <w:rPr>
                <w:rFonts w:hint="eastAsia" w:ascii="仿宋" w:hAnsi="仿宋" w:eastAsia="仿宋" w:cs="仿宋"/>
                <w:kern w:val="0"/>
                <w:sz w:val="21"/>
                <w:szCs w:val="21"/>
                <w:lang w:val="en-US" w:eastAsia="zh-CN"/>
              </w:rPr>
              <w:t>进场道路：在进场道路一侧排水沟连接至工业场地排水沟排入工业场地雨水收集池内，排水沟采用浆砌石（M10）矩形断面形式，底宽 0.4m，深 0.4m，壁厚 0.3m，共布设排水沟10m。</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水土保持投资估算（万元）</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工程措施</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11.63</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植物措施</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1.43</w:t>
            </w:r>
          </w:p>
        </w:tc>
      </w:tr>
      <w:tr>
        <w:tblPrEx>
          <w:tblCellMar>
            <w:top w:w="0" w:type="dxa"/>
            <w:left w:w="108" w:type="dxa"/>
            <w:bottom w:w="0" w:type="dxa"/>
            <w:right w:w="108" w:type="dxa"/>
          </w:tblCellMar>
        </w:tblPrEx>
        <w:trPr>
          <w:trHeight w:val="154"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临时措施</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1.68</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水土保持补偿费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1.32</w:t>
            </w:r>
          </w:p>
        </w:tc>
      </w:tr>
      <w:tr>
        <w:tblPrEx>
          <w:tblCellMar>
            <w:top w:w="0" w:type="dxa"/>
            <w:left w:w="108" w:type="dxa"/>
            <w:bottom w:w="0" w:type="dxa"/>
            <w:right w:w="108" w:type="dxa"/>
          </w:tblCellMar>
        </w:tblPrEx>
        <w:trPr>
          <w:trHeight w:val="10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独立费用</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建设管理费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0.29</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水土保持监理费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4.00</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设计费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w:t>
            </w:r>
          </w:p>
        </w:tc>
      </w:tr>
      <w:tr>
        <w:tblPrEx>
          <w:tblCellMar>
            <w:top w:w="0" w:type="dxa"/>
            <w:left w:w="108" w:type="dxa"/>
            <w:bottom w:w="0" w:type="dxa"/>
            <w:right w:w="108" w:type="dxa"/>
          </w:tblCellMar>
        </w:tblPrEx>
        <w:trPr>
          <w:trHeight w:val="25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w:t>
            </w:r>
          </w:p>
        </w:tc>
        <w:tc>
          <w:tcPr>
            <w:tcW w:w="600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28.13</w:t>
            </w:r>
          </w:p>
        </w:tc>
      </w:tr>
      <w:tr>
        <w:tblPrEx>
          <w:tblCellMar>
            <w:top w:w="0" w:type="dxa"/>
            <w:left w:w="108" w:type="dxa"/>
            <w:bottom w:w="0" w:type="dxa"/>
            <w:right w:w="108" w:type="dxa"/>
          </w:tblCellMar>
        </w:tblPrEx>
        <w:trPr>
          <w:trHeight w:val="553"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方案编制单位</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曲沃县诺航新型建材有限公司</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建设单位</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曲沃县诺航新型建材有限公司</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王万斌</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王万斌</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w:t>
            </w:r>
            <w:r>
              <w:rPr>
                <w:rFonts w:hint="eastAsia" w:ascii="仿宋" w:hAnsi="仿宋" w:eastAsia="仿宋" w:cs="仿宋"/>
                <w:kern w:val="0"/>
                <w:sz w:val="21"/>
                <w:szCs w:val="21"/>
                <w:lang w:eastAsia="zh-CN"/>
              </w:rPr>
              <w:t>曲沃县</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w:t>
            </w:r>
            <w:r>
              <w:rPr>
                <w:rFonts w:hint="eastAsia" w:ascii="仿宋" w:hAnsi="仿宋" w:eastAsia="仿宋" w:cs="仿宋"/>
                <w:kern w:val="0"/>
                <w:sz w:val="21"/>
                <w:szCs w:val="21"/>
                <w:lang w:eastAsia="zh-CN"/>
              </w:rPr>
              <w:t>曲沃县</w:t>
            </w:r>
          </w:p>
        </w:tc>
      </w:tr>
      <w:tr>
        <w:tblPrEx>
          <w:tblCellMar>
            <w:top w:w="0" w:type="dxa"/>
            <w:left w:w="108" w:type="dxa"/>
            <w:bottom w:w="0" w:type="dxa"/>
            <w:right w:w="108" w:type="dxa"/>
          </w:tblCellMar>
        </w:tblPrEx>
        <w:trPr>
          <w:trHeight w:val="236"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041600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041600</w:t>
            </w:r>
          </w:p>
        </w:tc>
      </w:tr>
      <w:tr>
        <w:tblPrEx>
          <w:tblCellMar>
            <w:top w:w="0" w:type="dxa"/>
            <w:left w:w="108" w:type="dxa"/>
            <w:bottom w:w="0" w:type="dxa"/>
            <w:right w:w="108" w:type="dxa"/>
          </w:tblCellMar>
        </w:tblPrEx>
        <w:trPr>
          <w:trHeight w:val="30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eastAsia="zh-CN"/>
              </w:rPr>
              <w:t>王万斌</w:t>
            </w:r>
            <w:r>
              <w:rPr>
                <w:rFonts w:hint="eastAsia" w:ascii="仿宋" w:hAnsi="仿宋" w:eastAsia="仿宋" w:cs="仿宋"/>
                <w:kern w:val="0"/>
                <w:sz w:val="21"/>
                <w:szCs w:val="21"/>
                <w:lang w:val="en-US" w:eastAsia="zh-CN"/>
              </w:rPr>
              <w:t>13753731244</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eastAsia="zh-CN"/>
              </w:rPr>
              <w:t>王万斌</w:t>
            </w:r>
            <w:r>
              <w:rPr>
                <w:rFonts w:hint="eastAsia" w:ascii="仿宋" w:hAnsi="仿宋" w:eastAsia="仿宋" w:cs="仿宋"/>
                <w:kern w:val="0"/>
                <w:sz w:val="21"/>
                <w:szCs w:val="21"/>
                <w:lang w:val="en-US" w:eastAsia="zh-CN"/>
              </w:rPr>
              <w:t>13753731244</w:t>
            </w:r>
          </w:p>
        </w:tc>
      </w:tr>
      <w:tr>
        <w:tblPrEx>
          <w:tblCellMar>
            <w:top w:w="0" w:type="dxa"/>
            <w:left w:w="108" w:type="dxa"/>
            <w:bottom w:w="0" w:type="dxa"/>
            <w:right w:w="108" w:type="dxa"/>
          </w:tblCellMar>
        </w:tblPrEx>
        <w:trPr>
          <w:trHeight w:val="15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828"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157"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r>
    </w:tbl>
    <w:p>
      <w:pPr>
        <w:pStyle w:val="43"/>
        <w:ind w:firstLine="480"/>
        <w:sectPr>
          <w:headerReference r:id="rId4" w:type="default"/>
          <w:footerReference r:id="rId5"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start="1"/>
          <w:cols w:space="425" w:num="1"/>
          <w:docGrid w:type="lines" w:linePitch="326" w:charSpace="0"/>
        </w:sectPr>
      </w:pPr>
    </w:p>
    <w:p>
      <w:pPr>
        <w:pStyle w:val="43"/>
        <w:ind w:firstLine="0" w:firstLineChars="0"/>
        <w:rPr>
          <w:b/>
        </w:rPr>
      </w:pPr>
      <w:r>
        <w:rPr>
          <w:rFonts w:hint="eastAsia"/>
          <w:b/>
        </w:rPr>
        <w:t>附件：</w:t>
      </w:r>
    </w:p>
    <w:p>
      <w:pPr>
        <w:pStyle w:val="43"/>
        <w:numPr>
          <w:ilvl w:val="0"/>
          <w:numId w:val="1"/>
        </w:numPr>
        <w:ind w:firstLine="578" w:firstLineChars="241"/>
        <w:rPr>
          <w:rFonts w:hint="eastAsia"/>
        </w:rPr>
      </w:pPr>
      <w:r>
        <w:rPr>
          <w:rFonts w:hint="eastAsia"/>
        </w:rPr>
        <w:t>水土保持方案报告表简要说明</w:t>
      </w:r>
    </w:p>
    <w:p>
      <w:pPr>
        <w:pStyle w:val="43"/>
        <w:numPr>
          <w:ilvl w:val="0"/>
          <w:numId w:val="1"/>
        </w:numPr>
        <w:ind w:firstLine="578" w:firstLineChars="241"/>
        <w:rPr>
          <w:rFonts w:hint="eastAsia"/>
        </w:rPr>
      </w:pPr>
      <w:r>
        <w:rPr>
          <w:rFonts w:hint="eastAsia"/>
          <w:lang w:eastAsia="zh-CN"/>
        </w:rPr>
        <w:t>备案文件</w:t>
      </w:r>
    </w:p>
    <w:p>
      <w:pPr>
        <w:pStyle w:val="43"/>
        <w:numPr>
          <w:ilvl w:val="0"/>
          <w:numId w:val="1"/>
        </w:numPr>
        <w:ind w:firstLine="578" w:firstLineChars="241"/>
        <w:rPr>
          <w:rFonts w:hint="eastAsia"/>
        </w:rPr>
      </w:pPr>
      <w:r>
        <w:rPr>
          <w:rFonts w:hint="eastAsia"/>
          <w:lang w:eastAsia="zh-CN"/>
        </w:rPr>
        <w:t>营业执照</w:t>
      </w:r>
    </w:p>
    <w:p>
      <w:pPr>
        <w:pStyle w:val="43"/>
        <w:numPr>
          <w:ilvl w:val="0"/>
          <w:numId w:val="1"/>
        </w:numPr>
        <w:ind w:firstLine="578" w:firstLineChars="241"/>
        <w:rPr>
          <w:rFonts w:hint="eastAsia"/>
        </w:rPr>
      </w:pPr>
      <w:r>
        <w:rPr>
          <w:rFonts w:hint="eastAsia"/>
          <w:lang w:eastAsia="zh-CN"/>
        </w:rPr>
        <w:t>水土保持措施单价表</w:t>
      </w:r>
    </w:p>
    <w:p>
      <w:pPr>
        <w:pStyle w:val="43"/>
        <w:numPr>
          <w:ilvl w:val="0"/>
          <w:numId w:val="1"/>
        </w:numPr>
        <w:ind w:firstLine="578" w:firstLineChars="241"/>
        <w:rPr>
          <w:rFonts w:hint="eastAsia"/>
        </w:rPr>
      </w:pPr>
      <w:r>
        <w:rPr>
          <w:rFonts w:hint="eastAsia"/>
          <w:lang w:eastAsia="zh-CN"/>
        </w:rPr>
        <w:t>审查意见</w:t>
      </w:r>
    </w:p>
    <w:p>
      <w:pPr>
        <w:pStyle w:val="43"/>
        <w:numPr>
          <w:ilvl w:val="0"/>
          <w:numId w:val="1"/>
        </w:numPr>
        <w:ind w:firstLine="578" w:firstLineChars="241"/>
        <w:rPr>
          <w:rFonts w:hint="eastAsia"/>
        </w:rPr>
      </w:pPr>
      <w:r>
        <w:rPr>
          <w:rFonts w:hint="eastAsia"/>
          <w:lang w:eastAsia="zh-CN"/>
        </w:rPr>
        <w:t>修改说明</w:t>
      </w:r>
    </w:p>
    <w:p>
      <w:pPr>
        <w:pStyle w:val="43"/>
        <w:ind w:firstLine="0" w:firstLineChars="0"/>
        <w:rPr>
          <w:b/>
        </w:rPr>
      </w:pPr>
      <w:r>
        <w:rPr>
          <w:rFonts w:hint="eastAsia"/>
          <w:b/>
        </w:rPr>
        <w:t>附图：</w:t>
      </w:r>
      <w:bookmarkStart w:id="36" w:name="_GoBack"/>
      <w:bookmarkEnd w:id="36"/>
    </w:p>
    <w:p>
      <w:pPr>
        <w:pStyle w:val="43"/>
        <w:ind w:firstLine="588" w:firstLineChars="245"/>
        <w:rPr>
          <w:rFonts w:hint="eastAsia"/>
        </w:rPr>
      </w:pPr>
      <w:r>
        <w:rPr>
          <w:rFonts w:hint="eastAsia"/>
        </w:rPr>
        <w:t>1、工程地理位置图</w:t>
      </w:r>
    </w:p>
    <w:p>
      <w:pPr>
        <w:pStyle w:val="43"/>
        <w:ind w:firstLine="588" w:firstLineChars="245"/>
        <w:rPr>
          <w:rFonts w:hint="eastAsia"/>
        </w:rPr>
      </w:pPr>
      <w:r>
        <w:rPr>
          <w:rFonts w:hint="eastAsia"/>
          <w:lang w:val="en-US" w:eastAsia="zh-CN"/>
        </w:rPr>
        <w:t>2、</w:t>
      </w:r>
      <w:r>
        <w:rPr>
          <w:rFonts w:hint="eastAsia"/>
        </w:rPr>
        <w:t>项目区水系图</w:t>
      </w:r>
    </w:p>
    <w:p>
      <w:pPr>
        <w:pStyle w:val="43"/>
        <w:ind w:firstLine="588" w:firstLineChars="245"/>
        <w:rPr>
          <w:rFonts w:hint="eastAsia"/>
        </w:rPr>
      </w:pPr>
      <w:r>
        <w:rPr>
          <w:rFonts w:hint="eastAsia"/>
          <w:lang w:val="en-US" w:eastAsia="zh-CN"/>
        </w:rPr>
        <w:t>3</w:t>
      </w:r>
      <w:r>
        <w:rPr>
          <w:rFonts w:hint="eastAsia"/>
        </w:rPr>
        <w:t>、工程总平面布置图</w:t>
      </w:r>
      <w:bookmarkEnd w:id="1"/>
      <w:bookmarkEnd w:id="2"/>
      <w:bookmarkEnd w:id="3"/>
      <w:bookmarkEnd w:id="4"/>
    </w:p>
    <w:p>
      <w:pPr>
        <w:pStyle w:val="43"/>
        <w:ind w:firstLine="588" w:firstLineChars="245"/>
        <w:rPr>
          <w:rFonts w:hint="eastAsia"/>
          <w:lang w:val="en-US" w:eastAsia="zh-CN"/>
        </w:rPr>
      </w:pPr>
      <w:r>
        <w:rPr>
          <w:rFonts w:hint="eastAsia"/>
          <w:lang w:val="en-US" w:eastAsia="zh-CN"/>
        </w:rPr>
        <w:t>4、临时措施典型设计</w:t>
      </w:r>
    </w:p>
    <w:p>
      <w:pPr>
        <w:pStyle w:val="43"/>
        <w:ind w:firstLine="588" w:firstLineChars="245"/>
        <w:rPr>
          <w:rFonts w:hint="eastAsia"/>
          <w:lang w:val="en-US" w:eastAsia="zh-CN"/>
        </w:rPr>
      </w:pPr>
      <w:r>
        <w:rPr>
          <w:rFonts w:hint="eastAsia"/>
          <w:lang w:val="en-US" w:eastAsia="zh-CN"/>
        </w:rPr>
        <w:t>5、排水沟典型设计</w:t>
      </w:r>
    </w:p>
    <w:p>
      <w:pPr>
        <w:pStyle w:val="43"/>
        <w:ind w:firstLine="588" w:firstLineChars="245"/>
        <w:rPr>
          <w:rFonts w:hint="default"/>
          <w:lang w:val="en-US" w:eastAsia="zh-CN"/>
        </w:rPr>
      </w:pPr>
      <w:r>
        <w:rPr>
          <w:rFonts w:hint="eastAsia"/>
          <w:lang w:val="en-US" w:eastAsia="zh-CN"/>
        </w:rPr>
        <w:t>6、工业场地绿化典型设计</w:t>
      </w:r>
    </w:p>
    <w:p>
      <w:pPr>
        <w:rPr>
          <w:rFonts w:hint="eastAsia"/>
        </w:rPr>
      </w:pPr>
      <w:r>
        <w:rPr>
          <w:rFonts w:hint="eastAsia"/>
        </w:rPr>
        <w:br w:type="page"/>
      </w:r>
    </w:p>
    <w:p>
      <w:pPr>
        <w:pStyle w:val="39"/>
        <w:rPr>
          <w:szCs w:val="24"/>
        </w:rPr>
      </w:pPr>
      <w:r>
        <w:rPr>
          <w:rFonts w:hint="eastAsia"/>
        </w:rPr>
        <w:t>附件</w:t>
      </w:r>
    </w:p>
    <w:p>
      <w:pPr>
        <w:pStyle w:val="48"/>
        <w:jc w:val="center"/>
        <w:rPr>
          <w:rFonts w:cs="宋体" w:asciiTheme="minorEastAsia" w:hAnsiTheme="minorEastAsia"/>
          <w:spacing w:val="-20"/>
          <w:kern w:val="0"/>
          <w:sz w:val="28"/>
          <w:szCs w:val="24"/>
          <w:u w:val="single"/>
        </w:rPr>
      </w:pPr>
    </w:p>
    <w:p/>
    <w:p/>
    <w:p/>
    <w:p/>
    <w:p/>
    <w:p>
      <w:pPr>
        <w:pStyle w:val="48"/>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曲沃县诺航新型建材有限公司</w:t>
      </w:r>
    </w:p>
    <w:p>
      <w:pPr>
        <w:pStyle w:val="48"/>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年产6000万块蒸压粉煤灰砖建设项目</w:t>
      </w:r>
    </w:p>
    <w:p>
      <w:pPr>
        <w:pStyle w:val="48"/>
        <w:spacing w:line="360" w:lineRule="auto"/>
        <w:jc w:val="center"/>
        <w:rPr>
          <w:rFonts w:asciiTheme="minorEastAsia" w:hAnsiTheme="minorEastAsia" w:eastAsiaTheme="minorEastAsia"/>
          <w:sz w:val="32"/>
        </w:rPr>
      </w:pPr>
      <w:r>
        <w:rPr>
          <w:rFonts w:asciiTheme="minorEastAsia" w:hAnsiTheme="minorEastAsia" w:eastAsiaTheme="minorEastAsia"/>
          <w:sz w:val="32"/>
        </w:rPr>
        <w:t>水土保持方案</w:t>
      </w:r>
      <w:r>
        <w:rPr>
          <w:rFonts w:hint="eastAsia" w:asciiTheme="minorEastAsia" w:hAnsiTheme="minorEastAsia" w:eastAsiaTheme="minorEastAsia"/>
          <w:sz w:val="32"/>
        </w:rPr>
        <w:t>报告</w:t>
      </w:r>
      <w:r>
        <w:rPr>
          <w:rFonts w:asciiTheme="minorEastAsia" w:hAnsiTheme="minorEastAsia" w:eastAsiaTheme="minorEastAsia"/>
          <w:sz w:val="32"/>
        </w:rPr>
        <w:t>表</w:t>
      </w:r>
    </w:p>
    <w:p>
      <w:pPr>
        <w:pStyle w:val="48"/>
        <w:spacing w:line="360" w:lineRule="auto"/>
        <w:jc w:val="center"/>
        <w:rPr>
          <w:spacing w:val="-20"/>
          <w:sz w:val="32"/>
        </w:rPr>
      </w:pPr>
      <w:r>
        <w:rPr>
          <w:rFonts w:hint="eastAsia" w:asciiTheme="minorEastAsia" w:hAnsiTheme="minorEastAsia" w:eastAsiaTheme="minorEastAsia"/>
          <w:sz w:val="32"/>
        </w:rPr>
        <w:t>简要说明</w:t>
      </w:r>
    </w:p>
    <w:p>
      <w:pPr>
        <w:pStyle w:val="43"/>
        <w:ind w:firstLine="0" w:firstLineChars="0"/>
      </w:pPr>
    </w:p>
    <w:p>
      <w:pPr>
        <w:pStyle w:val="43"/>
        <w:ind w:firstLine="0" w:firstLineChars="0"/>
      </w:pPr>
    </w:p>
    <w:p>
      <w:pPr>
        <w:widowControl/>
        <w:jc w:val="left"/>
        <w:rPr>
          <w:rFonts w:eastAsia="宋体" w:cs="Times New Roman"/>
          <w:szCs w:val="24"/>
        </w:rPr>
      </w:pPr>
      <w:r>
        <w:br w:type="page"/>
      </w:r>
    </w:p>
    <w:p>
      <w:pPr>
        <w:pStyle w:val="37"/>
      </w:pPr>
      <w:r>
        <w:t>1</w:t>
      </w:r>
      <w:r>
        <w:rPr>
          <w:rFonts w:hint="eastAsia"/>
        </w:rPr>
        <w:t>项目概况</w:t>
      </w:r>
    </w:p>
    <w:p>
      <w:pPr>
        <w:pStyle w:val="43"/>
        <w:ind w:left="0" w:leftChars="0" w:firstLine="0" w:firstLineChars="0"/>
        <w:rPr>
          <w:rFonts w:hint="default" w:eastAsia="宋体"/>
          <w:b/>
          <w:bCs/>
          <w:lang w:val="en-US" w:eastAsia="zh-CN"/>
        </w:rPr>
      </w:pPr>
      <w:r>
        <w:rPr>
          <w:rFonts w:hint="eastAsia"/>
          <w:b/>
          <w:bCs/>
          <w:lang w:val="en-US" w:eastAsia="zh-CN"/>
        </w:rPr>
        <w:t>1.1项目基本情况</w:t>
      </w:r>
    </w:p>
    <w:p>
      <w:pPr>
        <w:spacing w:line="500" w:lineRule="exact"/>
        <w:ind w:firstLine="480" w:firstLineChars="200"/>
        <w:rPr>
          <w:rFonts w:hint="eastAsia" w:ascii="Times New Roman" w:hAnsi="Times New Roman" w:eastAsia="宋体" w:cs="Times New Roman"/>
          <w:kern w:val="2"/>
          <w:sz w:val="24"/>
          <w:szCs w:val="24"/>
          <w:lang w:val="zh-CN" w:eastAsia="zh-CN" w:bidi="ar-SA"/>
        </w:rPr>
      </w:pPr>
      <w:bookmarkStart w:id="5" w:name="_Toc200014172"/>
      <w:bookmarkStart w:id="6" w:name="_Toc247790217"/>
      <w:r>
        <w:rPr>
          <w:rFonts w:hint="eastAsia" w:eastAsia="宋体" w:cs="Times New Roman"/>
          <w:kern w:val="2"/>
          <w:sz w:val="24"/>
          <w:szCs w:val="24"/>
          <w:lang w:val="zh-CN" w:eastAsia="zh-CN" w:bidi="ar-SA"/>
        </w:rPr>
        <w:t>曲沃县诺航新型建材有限公司年产6000万块蒸压粉煤灰砖建设项目地址位于山西省临汾市曲沃县高显镇安居村西1km，行政区划隶属高显镇管辖。其场地中心地理坐标为北纬35°41'13.9"，东经111°27'46.3"。</w:t>
      </w:r>
      <w:r>
        <w:rPr>
          <w:rFonts w:hint="eastAsia"/>
          <w:lang w:eastAsia="zh-CN"/>
        </w:rPr>
        <w:t>目于</w:t>
      </w:r>
      <w:r>
        <w:rPr>
          <w:rFonts w:hint="eastAsia"/>
          <w:lang w:val="en-US" w:eastAsia="zh-CN"/>
        </w:rPr>
        <w:t>2018</w:t>
      </w:r>
      <w:r>
        <w:rPr>
          <w:rFonts w:hint="eastAsia"/>
        </w:rPr>
        <w:t>年</w:t>
      </w:r>
      <w:r>
        <w:rPr>
          <w:rFonts w:hint="eastAsia"/>
          <w:lang w:val="en-US" w:eastAsia="zh-CN"/>
        </w:rPr>
        <w:t>5月4日在曲沃县发展和改革局以曲发改审批</w:t>
      </w:r>
      <w:r>
        <w:rPr>
          <w:rFonts w:hint="eastAsia" w:ascii="宋体" w:hAnsi="宋体" w:eastAsia="宋体" w:cs="宋体"/>
          <w:lang w:val="en-US" w:eastAsia="zh-CN"/>
        </w:rPr>
        <w:t>[2018]43号</w:t>
      </w:r>
      <w:r>
        <w:rPr>
          <w:rFonts w:hint="eastAsia"/>
          <w:lang w:val="en-US" w:eastAsia="zh-CN"/>
        </w:rPr>
        <w:t>行了备案</w:t>
      </w:r>
      <w:r>
        <w:rPr>
          <w:rFonts w:hint="eastAsia"/>
        </w:rPr>
        <w:t>，</w:t>
      </w:r>
      <w:r>
        <w:rPr>
          <w:rFonts w:hint="eastAsia"/>
          <w:lang w:eastAsia="zh-CN"/>
        </w:rPr>
        <w:t>项目已于</w:t>
      </w:r>
      <w:r>
        <w:rPr>
          <w:rFonts w:hint="eastAsia"/>
          <w:lang w:val="en-US" w:eastAsia="zh-CN"/>
        </w:rPr>
        <w:t>2018年7月开工建设，计划2021年12月建成并投入使用，项目紧邻晋宇路，交通网络四通八达、出行便捷。</w:t>
      </w:r>
    </w:p>
    <w:p>
      <w:pPr>
        <w:spacing w:line="500" w:lineRule="exact"/>
        <w:ind w:firstLine="480" w:firstLineChars="200"/>
        <w:rPr>
          <w:rFonts w:hint="eastAsia" w:eastAsia="宋体" w:cs="Times New Roman"/>
          <w:kern w:val="2"/>
          <w:sz w:val="24"/>
          <w:szCs w:val="24"/>
          <w:lang w:val="zh-CN" w:eastAsia="zh-CN" w:bidi="ar-SA"/>
        </w:rPr>
      </w:pPr>
      <w:r>
        <w:rPr>
          <w:rFonts w:hint="eastAsia" w:eastAsia="宋体" w:cs="Times New Roman"/>
          <w:kern w:val="2"/>
          <w:sz w:val="24"/>
          <w:szCs w:val="24"/>
          <w:lang w:val="zh-CN" w:eastAsia="zh-CN" w:bidi="ar-SA"/>
        </w:rPr>
        <w:t>曲沃县诺航新型建材有限公司成立于2018年5月，主要经营蒸压粉煤灰砖、粉煤灰轻质蒸养砖、免烧砖、粉煤灰混凝土小型空心砌块、水泥制品的生产、销售及建筑垃圾和公路废弃物的回收、利用等。为充分利用当地电厂、钢铁厂产业密集的优势，实现废弃资源的循环再利用，曲沃县诺航新型建材有限公司于2018年5月租赁曲沃县安居万斌水泥制品经销部的部分厂区，并决定在厂区空地上新建蒸压粉煤灰制砖项目，年产砖 6000 万块。</w:t>
      </w:r>
    </w:p>
    <w:bookmarkEnd w:id="5"/>
    <w:bookmarkEnd w:id="6"/>
    <w:p>
      <w:pPr>
        <w:spacing w:line="500" w:lineRule="exact"/>
        <w:ind w:firstLine="480" w:firstLineChars="200"/>
        <w:rPr>
          <w:rFonts w:hint="eastAsia"/>
          <w:snapToGrid w:val="0"/>
          <w:kern w:val="0"/>
        </w:rPr>
      </w:pPr>
      <w:r>
        <w:rPr>
          <w:rFonts w:hint="eastAsia"/>
          <w:lang w:eastAsia="zh-CN"/>
        </w:rPr>
        <w:t>本项目</w:t>
      </w:r>
      <w:r>
        <w:rPr>
          <w:rFonts w:hint="eastAsia"/>
        </w:rPr>
        <w:t>工程总征占地面积</w:t>
      </w:r>
      <w:r>
        <w:rPr>
          <w:rFonts w:hint="eastAsia"/>
          <w:lang w:val="en-US" w:eastAsia="zh-CN"/>
        </w:rPr>
        <w:t>3.28</w:t>
      </w:r>
      <w:r>
        <w:rPr>
          <w:rFonts w:hint="eastAsia" w:eastAsia="宋体" w:cs="Times New Roman"/>
          <w:snapToGrid w:val="0"/>
          <w:kern w:val="0"/>
          <w:szCs w:val="24"/>
          <w:lang w:val="en-US" w:eastAsia="zh-CN"/>
        </w:rPr>
        <w:t>h</w:t>
      </w:r>
      <w:r>
        <w:rPr>
          <w:rFonts w:eastAsia="宋体" w:cs="Times New Roman"/>
          <w:snapToGrid w:val="0"/>
          <w:kern w:val="0"/>
          <w:szCs w:val="24"/>
        </w:rPr>
        <w:t>m</w:t>
      </w:r>
      <w:r>
        <w:rPr>
          <w:rFonts w:eastAsia="宋体" w:cs="Times New Roman"/>
          <w:snapToGrid w:val="0"/>
          <w:kern w:val="0"/>
          <w:szCs w:val="24"/>
          <w:vertAlign w:val="superscript"/>
        </w:rPr>
        <w:t>2</w:t>
      </w:r>
      <w:r>
        <w:rPr>
          <w:rFonts w:hint="eastAsia" w:eastAsia="宋体" w:cs="Times New Roman"/>
          <w:snapToGrid w:val="0"/>
          <w:kern w:val="0"/>
          <w:szCs w:val="24"/>
          <w:lang w:eastAsia="zh-CN"/>
        </w:rPr>
        <w:t>，其中永久占地</w:t>
      </w:r>
      <w:r>
        <w:rPr>
          <w:rFonts w:hint="eastAsia"/>
          <w:lang w:val="en-US" w:eastAsia="zh-CN"/>
        </w:rPr>
        <w:t>3.25</w:t>
      </w:r>
      <w:r>
        <w:rPr>
          <w:rFonts w:hint="eastAsia" w:eastAsia="宋体" w:cs="Times New Roman"/>
          <w:snapToGrid w:val="0"/>
          <w:kern w:val="0"/>
          <w:szCs w:val="24"/>
          <w:lang w:val="en-US" w:eastAsia="zh-CN"/>
        </w:rPr>
        <w:t>h</w:t>
      </w:r>
      <w:r>
        <w:rPr>
          <w:rFonts w:eastAsia="宋体" w:cs="Times New Roman"/>
          <w:snapToGrid w:val="0"/>
          <w:kern w:val="0"/>
          <w:szCs w:val="24"/>
        </w:rPr>
        <w:t>m</w:t>
      </w:r>
      <w:r>
        <w:rPr>
          <w:rFonts w:eastAsia="宋体" w:cs="Times New Roman"/>
          <w:snapToGrid w:val="0"/>
          <w:kern w:val="0"/>
          <w:szCs w:val="24"/>
          <w:vertAlign w:val="superscript"/>
        </w:rPr>
        <w:t>2</w:t>
      </w:r>
      <w:r>
        <w:rPr>
          <w:rFonts w:hint="eastAsia" w:eastAsia="宋体" w:cs="Times New Roman"/>
          <w:snapToGrid w:val="0"/>
          <w:kern w:val="0"/>
          <w:szCs w:val="24"/>
          <w:lang w:eastAsia="zh-CN"/>
        </w:rPr>
        <w:t>，临时占地</w:t>
      </w:r>
      <w:r>
        <w:rPr>
          <w:rFonts w:hint="eastAsia"/>
          <w:lang w:val="en-US" w:eastAsia="zh-CN"/>
        </w:rPr>
        <w:t>0.03</w:t>
      </w:r>
      <w:r>
        <w:rPr>
          <w:rFonts w:hint="eastAsia" w:eastAsia="宋体" w:cs="Times New Roman"/>
          <w:snapToGrid w:val="0"/>
          <w:kern w:val="0"/>
          <w:szCs w:val="24"/>
          <w:lang w:val="en-US" w:eastAsia="zh-CN"/>
        </w:rPr>
        <w:t>h</w:t>
      </w:r>
      <w:r>
        <w:rPr>
          <w:rFonts w:eastAsia="宋体" w:cs="Times New Roman"/>
          <w:snapToGrid w:val="0"/>
          <w:kern w:val="0"/>
          <w:szCs w:val="24"/>
        </w:rPr>
        <w:t>m</w:t>
      </w:r>
      <w:r>
        <w:rPr>
          <w:rFonts w:eastAsia="宋体" w:cs="Times New Roman"/>
          <w:snapToGrid w:val="0"/>
          <w:kern w:val="0"/>
          <w:szCs w:val="24"/>
          <w:vertAlign w:val="superscript"/>
        </w:rPr>
        <w:t>2</w:t>
      </w:r>
      <w:r>
        <w:rPr>
          <w:rFonts w:hint="eastAsia" w:eastAsia="宋体" w:cs="Times New Roman"/>
          <w:snapToGrid w:val="0"/>
          <w:kern w:val="0"/>
          <w:szCs w:val="24"/>
          <w:lang w:val="en-US" w:eastAsia="zh-CN"/>
        </w:rPr>
        <w:t>，</w:t>
      </w:r>
      <w:r>
        <w:rPr>
          <w:rFonts w:hint="eastAsia"/>
          <w:snapToGrid w:val="0"/>
          <w:kern w:val="0"/>
        </w:rPr>
        <w:t>工程</w:t>
      </w:r>
      <w:r>
        <w:rPr>
          <w:rFonts w:hint="eastAsia"/>
          <w:snapToGrid w:val="0"/>
          <w:kern w:val="0"/>
          <w:lang w:eastAsia="zh-CN"/>
        </w:rPr>
        <w:t>土建过程</w:t>
      </w:r>
      <w:r>
        <w:rPr>
          <w:rFonts w:hint="eastAsia"/>
          <w:snapToGrid w:val="0"/>
          <w:kern w:val="0"/>
        </w:rPr>
        <w:t>土石方</w:t>
      </w:r>
      <w:r>
        <w:rPr>
          <w:bCs/>
          <w:snapToGrid w:val="0"/>
          <w:kern w:val="0"/>
        </w:rPr>
        <w:t>开挖</w:t>
      </w:r>
      <w:r>
        <w:rPr>
          <w:rFonts w:hint="eastAsia"/>
          <w:kern w:val="0"/>
          <w:lang w:val="en-US" w:eastAsia="zh-CN"/>
        </w:rPr>
        <w:t>0.75万</w:t>
      </w:r>
      <w:r>
        <w:rPr>
          <w:bCs/>
          <w:snapToGrid w:val="0"/>
          <w:kern w:val="0"/>
        </w:rPr>
        <w:t>m</w:t>
      </w:r>
      <w:r>
        <w:rPr>
          <w:bCs/>
          <w:snapToGrid w:val="0"/>
          <w:kern w:val="0"/>
          <w:vertAlign w:val="superscript"/>
        </w:rPr>
        <w:t>3</w:t>
      </w:r>
      <w:r>
        <w:rPr>
          <w:snapToGrid w:val="0"/>
        </w:rPr>
        <w:t>，</w:t>
      </w:r>
      <w:r>
        <w:rPr>
          <w:bCs/>
          <w:snapToGrid w:val="0"/>
          <w:kern w:val="0"/>
        </w:rPr>
        <w:t>填方</w:t>
      </w:r>
      <w:r>
        <w:rPr>
          <w:rFonts w:hint="eastAsia"/>
          <w:bCs/>
          <w:snapToGrid w:val="0"/>
          <w:kern w:val="0"/>
          <w:lang w:val="en-US" w:eastAsia="zh-CN"/>
        </w:rPr>
        <w:t>0.75万</w:t>
      </w:r>
      <w:r>
        <w:rPr>
          <w:bCs/>
          <w:snapToGrid w:val="0"/>
          <w:kern w:val="0"/>
        </w:rPr>
        <w:t>m</w:t>
      </w:r>
      <w:r>
        <w:rPr>
          <w:bCs/>
          <w:snapToGrid w:val="0"/>
          <w:kern w:val="0"/>
          <w:vertAlign w:val="superscript"/>
        </w:rPr>
        <w:t>3</w:t>
      </w:r>
      <w:r>
        <w:rPr>
          <w:snapToGrid w:val="0"/>
          <w:kern w:val="0"/>
        </w:rPr>
        <w:t>，</w:t>
      </w:r>
      <w:r>
        <w:rPr>
          <w:rFonts w:hint="eastAsia"/>
          <w:snapToGrid w:val="0"/>
          <w:kern w:val="0"/>
        </w:rPr>
        <w:t>土石方挖填平衡，</w:t>
      </w:r>
      <w:r>
        <w:rPr>
          <w:rFonts w:hint="eastAsia"/>
          <w:snapToGrid w:val="0"/>
          <w:kern w:val="0"/>
          <w:lang w:eastAsia="zh-CN"/>
        </w:rPr>
        <w:t>项目生产过程中无弃渣产生</w:t>
      </w:r>
      <w:r>
        <w:rPr>
          <w:rFonts w:hint="eastAsia"/>
          <w:snapToGrid w:val="0"/>
          <w:kern w:val="0"/>
        </w:rPr>
        <w:t>。</w:t>
      </w:r>
    </w:p>
    <w:p>
      <w:pPr>
        <w:pStyle w:val="43"/>
        <w:ind w:firstLine="480"/>
        <w:rPr>
          <w:rFonts w:hint="eastAsia"/>
        </w:rPr>
      </w:pPr>
      <w:r>
        <w:rPr>
          <w:rFonts w:hint="eastAsia"/>
        </w:rPr>
        <w:t>项目已于20</w:t>
      </w:r>
      <w:r>
        <w:rPr>
          <w:rFonts w:hint="eastAsia"/>
          <w:lang w:val="en-US" w:eastAsia="zh-CN"/>
        </w:rPr>
        <w:t>18</w:t>
      </w:r>
      <w:r>
        <w:rPr>
          <w:rFonts w:hint="eastAsia"/>
        </w:rPr>
        <w:t>年</w:t>
      </w:r>
      <w:r>
        <w:rPr>
          <w:rFonts w:hint="eastAsia"/>
          <w:lang w:val="en-US" w:eastAsia="zh-CN"/>
        </w:rPr>
        <w:t>7</w:t>
      </w:r>
      <w:r>
        <w:rPr>
          <w:rFonts w:hint="eastAsia"/>
        </w:rPr>
        <w:t>月开工建设，计划202</w:t>
      </w:r>
      <w:r>
        <w:rPr>
          <w:rFonts w:hint="eastAsia"/>
          <w:lang w:val="en-US" w:eastAsia="zh-CN"/>
        </w:rPr>
        <w:t>1</w:t>
      </w:r>
      <w:r>
        <w:rPr>
          <w:rFonts w:hint="eastAsia"/>
        </w:rPr>
        <w:t>年</w:t>
      </w:r>
      <w:r>
        <w:rPr>
          <w:rFonts w:hint="eastAsia"/>
          <w:lang w:val="en-US" w:eastAsia="zh-CN"/>
        </w:rPr>
        <w:t>12</w:t>
      </w:r>
      <w:r>
        <w:rPr>
          <w:rFonts w:hint="eastAsia"/>
        </w:rPr>
        <w:t>月建成并投入使用，建设工期</w:t>
      </w:r>
      <w:r>
        <w:rPr>
          <w:rFonts w:hint="eastAsia"/>
          <w:lang w:val="en-US" w:eastAsia="zh-CN"/>
        </w:rPr>
        <w:t>41</w:t>
      </w:r>
      <w:r>
        <w:rPr>
          <w:rFonts w:hint="eastAsia"/>
        </w:rPr>
        <w:t>个月</w:t>
      </w:r>
      <w:r>
        <w:rPr>
          <w:rFonts w:hint="eastAsia"/>
          <w:lang w:eastAsia="zh-CN"/>
        </w:rPr>
        <w:t>，目前项目已完成生产线建设及厂房搭建工作，土建工程基本完毕，正在进行地面硬化、绿化及道路工作</w:t>
      </w:r>
      <w:r>
        <w:rPr>
          <w:rFonts w:hint="eastAsia"/>
        </w:rPr>
        <w:t>。工程静态总投资</w:t>
      </w:r>
      <w:r>
        <w:rPr>
          <w:rFonts w:hint="eastAsia"/>
          <w:lang w:val="en-US" w:eastAsia="zh-CN"/>
        </w:rPr>
        <w:t>900</w:t>
      </w:r>
      <w:r>
        <w:rPr>
          <w:rFonts w:hint="eastAsia"/>
          <w:snapToGrid w:val="0"/>
          <w:kern w:val="0"/>
        </w:rPr>
        <w:t>万元</w:t>
      </w:r>
      <w:r>
        <w:rPr>
          <w:rFonts w:hint="eastAsia"/>
        </w:rPr>
        <w:t>，其中土建投资</w:t>
      </w:r>
      <w:r>
        <w:rPr>
          <w:rFonts w:hint="eastAsia"/>
          <w:lang w:val="en-US" w:eastAsia="zh-CN"/>
        </w:rPr>
        <w:t>180</w:t>
      </w:r>
      <w:r>
        <w:rPr>
          <w:rFonts w:hint="eastAsia"/>
        </w:rPr>
        <w:t>万元。投资来源于企业自筹。</w:t>
      </w:r>
    </w:p>
    <w:p>
      <w:pPr>
        <w:pStyle w:val="43"/>
        <w:ind w:firstLine="480"/>
        <w:rPr>
          <w:rFonts w:hint="eastAsia"/>
          <w:snapToGrid w:val="0"/>
          <w:kern w:val="0"/>
          <w:lang w:val="en-US" w:eastAsia="zh-CN"/>
        </w:rPr>
      </w:pPr>
      <w:r>
        <w:rPr>
          <w:rFonts w:hint="eastAsia"/>
          <w:snapToGrid w:val="0"/>
          <w:kern w:val="0"/>
          <w:lang w:val="en-US" w:eastAsia="zh-CN"/>
        </w:rPr>
        <w:t>工业场地：工业场地内布置有办公室、水泥仓、养护烘干区、成品砖堆场、粉煤灰仓等生产生活设施</w:t>
      </w:r>
      <w:r>
        <w:rPr>
          <w:rFonts w:hint="eastAsia" w:ascii="Times New Roman" w:hAnsi="Times New Roman" w:eastAsia="宋体" w:cs="Times New Roman"/>
          <w:kern w:val="2"/>
          <w:sz w:val="24"/>
          <w:szCs w:val="24"/>
          <w:lang w:val="zh-CN" w:eastAsia="zh-CN" w:bidi="ar-SA"/>
        </w:rPr>
        <w:t>。</w:t>
      </w:r>
      <w:r>
        <w:rPr>
          <w:rFonts w:hint="eastAsia" w:cs="Times New Roman"/>
          <w:kern w:val="2"/>
          <w:sz w:val="24"/>
          <w:szCs w:val="24"/>
          <w:lang w:val="zh-CN" w:eastAsia="zh-CN" w:bidi="ar-SA"/>
        </w:rPr>
        <w:t>工业场地占地面积</w:t>
      </w:r>
      <w:r>
        <w:rPr>
          <w:rFonts w:hint="eastAsia" w:cs="Times New Roman"/>
          <w:kern w:val="2"/>
          <w:sz w:val="24"/>
          <w:szCs w:val="24"/>
          <w:lang w:val="en-US" w:eastAsia="zh-CN" w:bidi="ar-SA"/>
        </w:rPr>
        <w:t>3.24</w:t>
      </w:r>
      <w:r>
        <w:rPr>
          <w:rFonts w:hint="eastAsia" w:eastAsia="宋体" w:cs="Times New Roman"/>
          <w:kern w:val="2"/>
          <w:sz w:val="24"/>
          <w:szCs w:val="24"/>
          <w:lang w:val="en-US" w:eastAsia="zh-CN" w:bidi="ar-SA"/>
        </w:rPr>
        <w:t>hm</w:t>
      </w:r>
      <w:r>
        <w:rPr>
          <w:rFonts w:hint="eastAsia" w:eastAsia="宋体" w:cs="Times New Roman"/>
          <w:kern w:val="2"/>
          <w:sz w:val="24"/>
          <w:szCs w:val="24"/>
          <w:vertAlign w:val="superscript"/>
          <w:lang w:val="en-US" w:eastAsia="zh-CN" w:bidi="ar-SA"/>
        </w:rPr>
        <w:t>2</w:t>
      </w:r>
      <w:r>
        <w:rPr>
          <w:rFonts w:hint="eastAsia" w:eastAsia="宋体" w:cs="Times New Roman"/>
          <w:kern w:val="2"/>
          <w:sz w:val="24"/>
          <w:szCs w:val="24"/>
          <w:lang w:val="en-US" w:eastAsia="zh-CN" w:bidi="ar-SA"/>
        </w:rPr>
        <w:t>，</w:t>
      </w:r>
      <w:r>
        <w:rPr>
          <w:rFonts w:hint="eastAsia"/>
          <w:snapToGrid w:val="0"/>
          <w:kern w:val="0"/>
          <w:lang w:val="en-US" w:eastAsia="zh-CN"/>
        </w:rPr>
        <w:t>均为永久占地，占地类型为工业用地。目前场地内除雨水收集池外无其他水保措施，主体设计未对水保措施进行设计，方案新增场内西侧及南侧围墙处排水沟380m并顺接至场地雨水收集池内，新增场地周边绿化措施，并对未施工场地进行表土剥离、回覆及临时拦护措施。</w:t>
      </w:r>
    </w:p>
    <w:p>
      <w:pPr>
        <w:pStyle w:val="43"/>
        <w:ind w:firstLine="480"/>
        <w:rPr>
          <w:rFonts w:hint="eastAsia"/>
          <w:snapToGrid w:val="0"/>
          <w:kern w:val="0"/>
          <w:lang w:val="en-US" w:eastAsia="zh-CN"/>
        </w:rPr>
      </w:pPr>
      <w:r>
        <w:rPr>
          <w:rFonts w:hint="eastAsia"/>
          <w:snapToGrid w:val="0"/>
          <w:kern w:val="0"/>
          <w:lang w:val="en-US" w:eastAsia="zh-CN"/>
        </w:rPr>
        <w:t>进场道路：新建进场道路于工业场地南侧连接晋宇路，进场道路长10m，宽6m，占地面积0.01hm</w:t>
      </w:r>
      <w:r>
        <w:rPr>
          <w:rFonts w:hint="eastAsia"/>
          <w:snapToGrid w:val="0"/>
          <w:kern w:val="0"/>
          <w:vertAlign w:val="superscript"/>
          <w:lang w:val="en-US" w:eastAsia="zh-CN"/>
        </w:rPr>
        <w:t>2</w:t>
      </w:r>
      <w:r>
        <w:rPr>
          <w:rFonts w:hint="eastAsia"/>
          <w:snapToGrid w:val="0"/>
          <w:kern w:val="0"/>
          <w:lang w:val="en-US" w:eastAsia="zh-CN"/>
        </w:rPr>
        <w:t>，方案新增进场道路一侧排水沟连接至工业场地排水沟排入工业场地雨水收集池内。</w:t>
      </w:r>
    </w:p>
    <w:p>
      <w:pPr>
        <w:pStyle w:val="43"/>
        <w:ind w:firstLine="480"/>
        <w:rPr>
          <w:rFonts w:hint="eastAsia"/>
          <w:lang w:eastAsia="zh-CN"/>
        </w:rPr>
      </w:pPr>
      <w:r>
        <w:rPr>
          <w:rFonts w:hint="eastAsia"/>
          <w:snapToGrid w:val="0"/>
          <w:kern w:val="0"/>
          <w:lang w:val="en-US" w:eastAsia="zh-CN"/>
        </w:rPr>
        <w:t>输电线路：项目</w:t>
      </w:r>
      <w:r>
        <w:rPr>
          <w:rFonts w:hint="eastAsia" w:eastAsia="宋体" w:cs="Times New Roman"/>
          <w:snapToGrid w:val="0"/>
          <w:kern w:val="0"/>
          <w:szCs w:val="24"/>
          <w:lang w:val="en-US" w:eastAsia="zh-CN"/>
        </w:rPr>
        <w:t>新建用电</w:t>
      </w:r>
      <w:r>
        <w:rPr>
          <w:rFonts w:hint="eastAsia"/>
          <w:lang w:eastAsia="zh-CN"/>
        </w:rPr>
        <w:t>从安居村变电站</w:t>
      </w:r>
      <w:r>
        <w:rPr>
          <w:rFonts w:hint="eastAsia"/>
          <w:lang w:val="en-US" w:eastAsia="zh-CN"/>
        </w:rPr>
        <w:t>110kv线路</w:t>
      </w:r>
      <w:r>
        <w:rPr>
          <w:rFonts w:hint="eastAsia"/>
          <w:lang w:eastAsia="zh-CN"/>
        </w:rPr>
        <w:t>接入工业场地变电箱，项目输电线路总长</w:t>
      </w:r>
      <w:r>
        <w:rPr>
          <w:rFonts w:hint="eastAsia"/>
          <w:lang w:val="en-US" w:eastAsia="zh-CN"/>
        </w:rPr>
        <w:t>10</w:t>
      </w:r>
      <w:r>
        <w:rPr>
          <w:rFonts w:hint="eastAsia"/>
          <w:lang w:eastAsia="zh-CN"/>
        </w:rPr>
        <w:t>m，从高压电线直接接引至场内1台1000KVA变压器，无占地。</w:t>
      </w:r>
    </w:p>
    <w:p>
      <w:pPr>
        <w:pStyle w:val="43"/>
        <w:ind w:firstLine="480"/>
        <w:rPr>
          <w:rFonts w:hint="default"/>
          <w:lang w:val="en-US" w:eastAsia="zh-CN"/>
        </w:rPr>
      </w:pPr>
      <w:r>
        <w:rPr>
          <w:rFonts w:hint="eastAsia"/>
          <w:lang w:eastAsia="zh-CN"/>
        </w:rPr>
        <w:t>供水管线：项目新建供水管线从工业场地西侧自来水管网接入场内，用于厂区生活用水，供水管线长约</w:t>
      </w:r>
      <w:r>
        <w:rPr>
          <w:rFonts w:hint="eastAsia"/>
          <w:lang w:val="en-US" w:eastAsia="zh-CN"/>
        </w:rPr>
        <w:t>95m，临时占地0.03hm</w:t>
      </w:r>
      <w:r>
        <w:rPr>
          <w:rFonts w:hint="eastAsia"/>
          <w:vertAlign w:val="superscript"/>
          <w:lang w:val="en-US" w:eastAsia="zh-CN"/>
        </w:rPr>
        <w:t>2</w:t>
      </w:r>
      <w:r>
        <w:rPr>
          <w:rFonts w:hint="eastAsia"/>
          <w:lang w:val="en-US" w:eastAsia="zh-CN"/>
        </w:rPr>
        <w:t>，目前临时占地已自然恢复。</w:t>
      </w:r>
    </w:p>
    <w:p>
      <w:pPr>
        <w:autoSpaceDE w:val="0"/>
        <w:autoSpaceDN w:val="0"/>
        <w:spacing w:before="156" w:beforeLines="50"/>
        <w:jc w:val="center"/>
        <w:rPr>
          <w:rFonts w:hint="eastAsia" w:ascii="Times New Roman" w:hAnsi="Times New Roman" w:eastAsia="仿宋_GB2312"/>
          <w:b/>
          <w:sz w:val="24"/>
          <w:lang w:eastAsia="zh-CN"/>
        </w:rPr>
      </w:pPr>
      <w:r>
        <w:rPr>
          <w:rFonts w:ascii="Times New Roman" w:hAnsi="Times New Roman" w:eastAsia="仿宋_GB2312"/>
          <w:b/>
          <w:sz w:val="24"/>
        </w:rPr>
        <w:t>表</w:t>
      </w:r>
      <w:r>
        <w:rPr>
          <w:rFonts w:hint="eastAsia" w:eastAsia="仿宋_GB2312"/>
          <w:b/>
          <w:sz w:val="24"/>
          <w:lang w:val="en-US" w:eastAsia="zh-CN"/>
        </w:rPr>
        <w:t>1</w:t>
      </w:r>
      <w:r>
        <w:rPr>
          <w:rFonts w:ascii="Times New Roman" w:hAnsi="Times New Roman" w:eastAsia="仿宋_GB2312"/>
          <w:b/>
          <w:sz w:val="24"/>
        </w:rPr>
        <w:t>-</w:t>
      </w:r>
      <w:r>
        <w:rPr>
          <w:rFonts w:hint="eastAsia" w:eastAsia="仿宋_GB2312"/>
          <w:b/>
          <w:sz w:val="24"/>
          <w:lang w:val="en-US" w:eastAsia="zh-CN"/>
        </w:rPr>
        <w:t>1</w:t>
      </w:r>
      <w:r>
        <w:rPr>
          <w:rFonts w:ascii="Times New Roman" w:hAnsi="Times New Roman" w:eastAsia="仿宋_GB2312"/>
          <w:b/>
          <w:sz w:val="24"/>
        </w:rPr>
        <w:t xml:space="preserve">  工程占地情况</w:t>
      </w:r>
      <w:r>
        <w:rPr>
          <w:rFonts w:hint="eastAsia" w:eastAsia="仿宋_GB2312"/>
          <w:b/>
          <w:sz w:val="24"/>
          <w:lang w:eastAsia="zh-CN"/>
        </w:rPr>
        <w:t>及防治责任范围统计</w:t>
      </w:r>
      <w:r>
        <w:rPr>
          <w:rFonts w:ascii="Times New Roman" w:hAnsi="Times New Roman" w:eastAsia="仿宋_GB2312"/>
          <w:b/>
          <w:sz w:val="24"/>
        </w:rPr>
        <w:t>表</w:t>
      </w:r>
      <w:r>
        <w:rPr>
          <w:rFonts w:hint="eastAsia" w:ascii="Times New Roman" w:hAnsi="Times New Roman" w:eastAsia="仿宋_GB2312"/>
          <w:b/>
          <w:sz w:val="24"/>
          <w:lang w:val="en-US" w:eastAsia="zh-CN"/>
        </w:rPr>
        <w:t xml:space="preserve">     </w:t>
      </w:r>
      <w:r>
        <w:rPr>
          <w:rFonts w:ascii="Times New Roman" w:hAnsi="Times New Roman" w:eastAsia="仿宋_GB2312"/>
          <w:b/>
          <w:sz w:val="24"/>
        </w:rPr>
        <w:t>单位：</w:t>
      </w:r>
      <w:r>
        <w:rPr>
          <w:rFonts w:hint="eastAsia" w:ascii="Times New Roman" w:hAnsi="Times New Roman" w:eastAsia="仿宋_GB2312"/>
          <w:b/>
          <w:sz w:val="24"/>
          <w:lang w:val="en-US" w:eastAsia="zh-CN"/>
        </w:rPr>
        <w:t>h</w:t>
      </w:r>
      <w:r>
        <w:rPr>
          <w:rFonts w:ascii="Times New Roman" w:hAnsi="Times New Roman" w:eastAsia="仿宋_GB2312"/>
          <w:b/>
          <w:sz w:val="24"/>
        </w:rPr>
        <w:t>m</w:t>
      </w:r>
      <w:r>
        <w:rPr>
          <w:rFonts w:hint="eastAsia" w:ascii="Times New Roman" w:hAnsi="Times New Roman" w:eastAsia="仿宋_GB2312"/>
          <w:b/>
          <w:sz w:val="24"/>
          <w:vertAlign w:val="superscript"/>
          <w:lang w:val="en-US" w:eastAsia="zh-CN"/>
        </w:rPr>
        <w:t>2</w:t>
      </w:r>
    </w:p>
    <w:tbl>
      <w:tblPr>
        <w:tblStyle w:val="24"/>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2183"/>
        <w:gridCol w:w="201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lang w:val="en-US"/>
              </w:rPr>
            </w:pPr>
            <w:r>
              <w:rPr>
                <w:rFonts w:hint="eastAsia" w:ascii="仿宋_GB2312" w:hAnsi="宋体" w:eastAsia="仿宋_GB2312" w:cs="仿宋_GB2312"/>
                <w:i w:val="0"/>
                <w:color w:val="000000"/>
                <w:kern w:val="0"/>
                <w:sz w:val="21"/>
                <w:szCs w:val="21"/>
                <w:u w:val="none"/>
                <w:lang w:val="en-US" w:eastAsia="zh-CN" w:bidi="ar"/>
              </w:rPr>
              <w:t>占地类型/防治责任范围</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永久占地</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临时占地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3.24</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进场道路</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供水管线</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0.03</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3.25</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0.03</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3.28</w:t>
            </w:r>
          </w:p>
        </w:tc>
      </w:tr>
    </w:tbl>
    <w:p>
      <w:pPr>
        <w:wordWrap w:val="0"/>
        <w:spacing w:before="156" w:beforeLines="50"/>
        <w:jc w:val="center"/>
        <w:rPr>
          <w:rFonts w:ascii="Times New Roman" w:hAnsi="Times New Roman" w:eastAsia="仿宋_GB2312"/>
          <w:b/>
          <w:sz w:val="24"/>
        </w:rPr>
      </w:pPr>
      <w:r>
        <w:rPr>
          <w:rFonts w:ascii="Times New Roman" w:hAnsi="Times New Roman" w:eastAsia="仿宋_GB2312"/>
          <w:b/>
          <w:sz w:val="24"/>
        </w:rPr>
        <w:t>表</w:t>
      </w:r>
      <w:r>
        <w:rPr>
          <w:rFonts w:hint="eastAsia" w:ascii="Times New Roman" w:hAnsi="Times New Roman" w:eastAsia="仿宋_GB2312"/>
          <w:b/>
          <w:sz w:val="24"/>
          <w:lang w:val="en-US" w:eastAsia="zh-CN"/>
        </w:rPr>
        <w:t>1-2</w:t>
      </w:r>
      <w:r>
        <w:rPr>
          <w:rFonts w:ascii="Times New Roman" w:hAnsi="Times New Roman" w:eastAsia="仿宋_GB2312"/>
          <w:b/>
          <w:sz w:val="24"/>
        </w:rPr>
        <w:t xml:space="preserve">  项目土石方平衡表               单位：万m</w:t>
      </w:r>
      <w:r>
        <w:rPr>
          <w:rFonts w:ascii="Times New Roman" w:hAnsi="Times New Roman" w:eastAsia="仿宋_GB2312"/>
          <w:b/>
          <w:sz w:val="24"/>
          <w:vertAlign w:val="superscript"/>
        </w:rPr>
        <w:t>3</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397"/>
        <w:gridCol w:w="841"/>
        <w:gridCol w:w="840"/>
        <w:gridCol w:w="910"/>
        <w:gridCol w:w="1810"/>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序号</w:t>
            </w:r>
          </w:p>
        </w:tc>
        <w:tc>
          <w:tcPr>
            <w:tcW w:w="1397"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项目区</w:t>
            </w:r>
          </w:p>
        </w:tc>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开挖</w:t>
            </w:r>
          </w:p>
        </w:tc>
        <w:tc>
          <w:tcPr>
            <w:tcW w:w="91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回填</w:t>
            </w:r>
          </w:p>
        </w:tc>
        <w:tc>
          <w:tcPr>
            <w:tcW w:w="3693"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调入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397"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数量</w:t>
            </w: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1.4</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0.7</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0.7</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进场道路</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0.08</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0.04</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0.04</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供水管线</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0.02</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38"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1.5</w:t>
            </w:r>
          </w:p>
        </w:tc>
        <w:tc>
          <w:tcPr>
            <w:tcW w:w="84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wordWrap w:val="0"/>
        <w:spacing w:before="156" w:beforeLines="50"/>
        <w:jc w:val="center"/>
        <w:rPr>
          <w:rFonts w:ascii="Times New Roman" w:hAnsi="Times New Roman" w:eastAsia="仿宋_GB2312"/>
          <w:b/>
          <w:sz w:val="24"/>
        </w:rPr>
      </w:pPr>
      <w:r>
        <w:rPr>
          <w:rFonts w:ascii="Times New Roman" w:hAnsi="Times New Roman" w:eastAsia="仿宋_GB2312"/>
          <w:b/>
          <w:sz w:val="24"/>
        </w:rPr>
        <w:t>表</w:t>
      </w:r>
      <w:r>
        <w:rPr>
          <w:rFonts w:hint="eastAsia" w:ascii="Times New Roman" w:hAnsi="Times New Roman" w:eastAsia="仿宋_GB2312"/>
          <w:b/>
          <w:sz w:val="24"/>
          <w:lang w:val="en-US" w:eastAsia="zh-CN"/>
        </w:rPr>
        <w:t>1-</w:t>
      </w:r>
      <w:r>
        <w:rPr>
          <w:rFonts w:hint="eastAsia" w:eastAsia="仿宋_GB2312"/>
          <w:b/>
          <w:sz w:val="24"/>
          <w:lang w:val="en-US" w:eastAsia="zh-CN"/>
        </w:rPr>
        <w:t>3</w:t>
      </w:r>
      <w:r>
        <w:rPr>
          <w:rFonts w:ascii="Times New Roman" w:hAnsi="Times New Roman" w:eastAsia="仿宋_GB2312"/>
          <w:b/>
          <w:sz w:val="24"/>
        </w:rPr>
        <w:t xml:space="preserve">  项目</w:t>
      </w:r>
      <w:r>
        <w:rPr>
          <w:rFonts w:hint="eastAsia" w:eastAsia="仿宋_GB2312"/>
          <w:b/>
          <w:sz w:val="24"/>
          <w:lang w:eastAsia="zh-CN"/>
        </w:rPr>
        <w:t>表土剥离</w:t>
      </w:r>
      <w:r>
        <w:rPr>
          <w:rFonts w:ascii="Times New Roman" w:hAnsi="Times New Roman" w:eastAsia="仿宋_GB2312"/>
          <w:b/>
          <w:sz w:val="24"/>
        </w:rPr>
        <w:t>平衡表               单位：万m</w:t>
      </w:r>
      <w:r>
        <w:rPr>
          <w:rFonts w:ascii="Times New Roman" w:hAnsi="Times New Roman" w:eastAsia="仿宋_GB2312"/>
          <w:b/>
          <w:sz w:val="24"/>
          <w:vertAlign w:val="superscript"/>
        </w:rPr>
        <w:t>3</w:t>
      </w:r>
    </w:p>
    <w:tbl>
      <w:tblPr>
        <w:tblStyle w:val="24"/>
        <w:tblW w:w="9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075"/>
        <w:gridCol w:w="647"/>
        <w:gridCol w:w="646"/>
        <w:gridCol w:w="700"/>
        <w:gridCol w:w="1392"/>
        <w:gridCol w:w="1449"/>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647"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序号</w:t>
            </w:r>
          </w:p>
        </w:tc>
        <w:tc>
          <w:tcPr>
            <w:tcW w:w="1075"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项目区</w:t>
            </w:r>
          </w:p>
        </w:tc>
        <w:tc>
          <w:tcPr>
            <w:tcW w:w="647"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646"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开挖</w:t>
            </w:r>
          </w:p>
        </w:tc>
        <w:tc>
          <w:tcPr>
            <w:tcW w:w="70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回填</w:t>
            </w:r>
          </w:p>
        </w:tc>
        <w:tc>
          <w:tcPr>
            <w:tcW w:w="2841"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调入</w:t>
            </w:r>
          </w:p>
        </w:tc>
        <w:tc>
          <w:tcPr>
            <w:tcW w:w="2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647"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075"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647"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646"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70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392"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数量</w:t>
            </w:r>
          </w:p>
        </w:tc>
        <w:tc>
          <w:tcPr>
            <w:tcW w:w="1449"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来源</w:t>
            </w:r>
          </w:p>
        </w:tc>
        <w:tc>
          <w:tcPr>
            <w:tcW w:w="2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64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075"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647"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0.22</w:t>
            </w:r>
          </w:p>
        </w:tc>
        <w:tc>
          <w:tcPr>
            <w:tcW w:w="646"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0.11</w:t>
            </w:r>
          </w:p>
        </w:tc>
        <w:tc>
          <w:tcPr>
            <w:tcW w:w="70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0.11</w:t>
            </w:r>
          </w:p>
        </w:tc>
        <w:tc>
          <w:tcPr>
            <w:tcW w:w="1392"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449"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2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表土剥离面积0.35hm</w:t>
            </w:r>
            <w:r>
              <w:rPr>
                <w:rFonts w:hint="eastAsia" w:ascii="仿宋_GB2312" w:hAnsi="宋体" w:eastAsia="仿宋_GB2312" w:cs="仿宋_GB2312"/>
                <w:i w:val="0"/>
                <w:color w:val="000000"/>
                <w:kern w:val="0"/>
                <w:sz w:val="21"/>
                <w:szCs w:val="21"/>
                <w:u w:val="none"/>
                <w:vertAlign w:val="superscript"/>
                <w:lang w:val="en-US" w:eastAsia="zh-CN" w:bidi="ar"/>
              </w:rPr>
              <w:t>2</w:t>
            </w:r>
            <w:r>
              <w:rPr>
                <w:rFonts w:hint="eastAsia" w:ascii="仿宋_GB2312" w:hAnsi="宋体" w:eastAsia="仿宋_GB2312" w:cs="仿宋_GB2312"/>
                <w:i w:val="0"/>
                <w:color w:val="000000"/>
                <w:kern w:val="0"/>
                <w:sz w:val="21"/>
                <w:szCs w:val="21"/>
                <w:u w:val="none"/>
                <w:lang w:val="en-US" w:eastAsia="zh-CN" w:bidi="ar"/>
              </w:rPr>
              <w:t>，表土剥离后堆放于绿化用地内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22"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647"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0.22</w:t>
            </w:r>
          </w:p>
        </w:tc>
        <w:tc>
          <w:tcPr>
            <w:tcW w:w="646"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70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392"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449"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2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rPr>
          <w:rFonts w:ascii="Times New Roman" w:hAnsi="Times New Roman" w:eastAsia="仿宋_GB2312"/>
          <w:b/>
          <w:sz w:val="24"/>
        </w:rPr>
      </w:pPr>
      <w:r>
        <w:rPr>
          <w:rFonts w:ascii="Times New Roman" w:hAnsi="Times New Roman" w:eastAsia="仿宋_GB2312"/>
          <w:b/>
          <w:sz w:val="24"/>
        </w:rPr>
        <w:br w:type="page"/>
      </w:r>
    </w:p>
    <w:p>
      <w:pPr>
        <w:spacing w:line="500" w:lineRule="exact"/>
        <w:jc w:val="center"/>
        <w:rPr>
          <w:rFonts w:hint="eastAsia" w:ascii="Times New Roman" w:hAnsi="Times New Roman" w:eastAsia="仿宋_GB2312"/>
          <w:b/>
          <w:sz w:val="24"/>
          <w:lang w:eastAsia="zh-CN"/>
        </w:rPr>
      </w:pPr>
      <w:r>
        <w:rPr>
          <w:rFonts w:ascii="Times New Roman" w:hAnsi="Times New Roman" w:eastAsia="仿宋_GB2312"/>
          <w:b/>
          <w:sz w:val="24"/>
        </w:rPr>
        <w:t>表</w:t>
      </w:r>
      <w:r>
        <w:rPr>
          <w:rFonts w:hint="eastAsia" w:ascii="Times New Roman" w:hAnsi="Times New Roman" w:eastAsia="仿宋_GB2312"/>
          <w:b/>
          <w:sz w:val="24"/>
          <w:lang w:val="en-US" w:eastAsia="zh-CN"/>
        </w:rPr>
        <w:t>1-</w:t>
      </w:r>
      <w:r>
        <w:rPr>
          <w:rFonts w:hint="eastAsia" w:eastAsia="仿宋_GB2312"/>
          <w:b/>
          <w:sz w:val="24"/>
          <w:lang w:val="en-US" w:eastAsia="zh-CN"/>
        </w:rPr>
        <w:t>4</w:t>
      </w:r>
      <w:r>
        <w:rPr>
          <w:rFonts w:ascii="Times New Roman" w:hAnsi="Times New Roman" w:eastAsia="仿宋_GB2312"/>
          <w:b/>
          <w:sz w:val="24"/>
        </w:rPr>
        <w:t xml:space="preserve">  </w:t>
      </w:r>
      <w:r>
        <w:rPr>
          <w:rFonts w:hint="eastAsia" w:ascii="Times New Roman" w:hAnsi="Times New Roman" w:eastAsia="仿宋_GB2312"/>
          <w:b/>
          <w:sz w:val="24"/>
          <w:lang w:eastAsia="zh-CN"/>
        </w:rPr>
        <w:t>土石方流向框图</w:t>
      </w:r>
    </w:p>
    <w:p>
      <w:pPr>
        <w:pStyle w:val="2"/>
        <w:ind w:left="0" w:leftChars="0" w:firstLine="0" w:firstLineChars="0"/>
        <w:rPr>
          <w:rFonts w:hint="default"/>
          <w:lang w:val="en-US" w:eastAsia="zh-CN"/>
        </w:rPr>
      </w:pPr>
      <w:r>
        <w:rPr>
          <w:rFonts w:hint="default"/>
          <w:lang w:val="en-US" w:eastAsia="zh-CN"/>
        </w:rPr>
        <w:drawing>
          <wp:inline distT="0" distB="0" distL="114300" distR="114300">
            <wp:extent cx="5650865" cy="3551555"/>
            <wp:effectExtent l="0" t="0" r="0" b="0"/>
            <wp:docPr id="2" name="图片 2" descr="流向框图（洗煤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流向框图（洗煤厂）"/>
                    <pic:cNvPicPr>
                      <a:picLocks noChangeAspect="1"/>
                    </pic:cNvPicPr>
                  </pic:nvPicPr>
                  <pic:blipFill>
                    <a:blip r:embed="rId9"/>
                    <a:stretch>
                      <a:fillRect/>
                    </a:stretch>
                  </pic:blipFill>
                  <pic:spPr>
                    <a:xfrm>
                      <a:off x="0" y="0"/>
                      <a:ext cx="5650865" cy="3551555"/>
                    </a:xfrm>
                    <a:prstGeom prst="rect">
                      <a:avLst/>
                    </a:prstGeom>
                  </pic:spPr>
                </pic:pic>
              </a:graphicData>
            </a:graphic>
          </wp:inline>
        </w:drawing>
      </w:r>
    </w:p>
    <w:p>
      <w:pPr>
        <w:spacing w:line="500" w:lineRule="exact"/>
        <w:rPr>
          <w:rFonts w:hint="eastAsia"/>
          <w:b/>
          <w:bCs/>
          <w:snapToGrid w:val="0"/>
          <w:kern w:val="0"/>
          <w:lang w:val="en-US" w:eastAsia="zh-CN"/>
        </w:rPr>
      </w:pPr>
      <w:r>
        <w:rPr>
          <w:rFonts w:hint="eastAsia"/>
          <w:b/>
          <w:bCs/>
          <w:snapToGrid w:val="0"/>
          <w:kern w:val="0"/>
          <w:lang w:val="en-US" w:eastAsia="zh-CN"/>
        </w:rPr>
        <w:t>1.3生产工艺</w:t>
      </w:r>
    </w:p>
    <w:p>
      <w:pPr>
        <w:pStyle w:val="43"/>
        <w:ind w:firstLine="480"/>
        <w:rPr>
          <w:rFonts w:hint="eastAsia"/>
          <w:lang w:eastAsia="zh-CN"/>
        </w:rPr>
      </w:pPr>
      <w:r>
        <w:rPr>
          <w:rFonts w:hint="eastAsia"/>
          <w:lang w:eastAsia="zh-CN"/>
        </w:rPr>
        <w:t>1、原材料储存及混合料制备</w:t>
      </w:r>
    </w:p>
    <w:p>
      <w:pPr>
        <w:pStyle w:val="43"/>
        <w:ind w:firstLine="480"/>
        <w:rPr>
          <w:rFonts w:hint="eastAsia"/>
          <w:lang w:eastAsia="zh-CN"/>
        </w:rPr>
      </w:pPr>
      <w:r>
        <w:rPr>
          <w:rFonts w:hint="eastAsia"/>
          <w:lang w:eastAsia="zh-CN"/>
        </w:rPr>
        <w:t>（1）从水泥厂用专用水泥罐车运至厂内，用气力输送至配料楼旁的水泥仓内贮存待用。</w:t>
      </w:r>
    </w:p>
    <w:p>
      <w:pPr>
        <w:pStyle w:val="43"/>
        <w:ind w:firstLine="480"/>
        <w:rPr>
          <w:rFonts w:hint="eastAsia"/>
          <w:lang w:eastAsia="zh-CN"/>
        </w:rPr>
      </w:pPr>
      <w:r>
        <w:rPr>
          <w:rFonts w:hint="eastAsia"/>
          <w:lang w:eastAsia="zh-CN"/>
        </w:rPr>
        <w:t>（2）粉煤灰由专用车辆运入厂内，用气力输送至配料楼旁的粉煤灰仓内贮存待用。</w:t>
      </w:r>
    </w:p>
    <w:p>
      <w:pPr>
        <w:pStyle w:val="43"/>
        <w:ind w:firstLine="480"/>
        <w:rPr>
          <w:rFonts w:hint="eastAsia"/>
          <w:lang w:eastAsia="zh-CN"/>
        </w:rPr>
      </w:pPr>
      <w:r>
        <w:rPr>
          <w:rFonts w:hint="eastAsia"/>
          <w:lang w:eastAsia="zh-CN"/>
        </w:rPr>
        <w:t>（3）电石泥由厂家运送入厂内，倒入厂房内的电石泥池待用。</w:t>
      </w:r>
    </w:p>
    <w:p>
      <w:pPr>
        <w:pStyle w:val="43"/>
        <w:ind w:firstLine="480"/>
        <w:rPr>
          <w:rFonts w:hint="eastAsia"/>
          <w:lang w:eastAsia="zh-CN"/>
        </w:rPr>
      </w:pPr>
      <w:r>
        <w:rPr>
          <w:rFonts w:hint="eastAsia"/>
          <w:lang w:eastAsia="zh-CN"/>
        </w:rPr>
        <w:t>（4）石屑、脱硫石膏由汽车运入厂，倒放在厂房内原料区，原料区全封闭。</w:t>
      </w:r>
    </w:p>
    <w:p>
      <w:pPr>
        <w:pStyle w:val="43"/>
        <w:ind w:firstLine="480"/>
        <w:rPr>
          <w:rFonts w:hint="eastAsia"/>
          <w:lang w:eastAsia="zh-CN"/>
        </w:rPr>
      </w:pPr>
      <w:r>
        <w:rPr>
          <w:rFonts w:hint="eastAsia"/>
          <w:lang w:eastAsia="zh-CN"/>
        </w:rPr>
        <w:t>2、配料搅拌工段</w:t>
      </w:r>
    </w:p>
    <w:p>
      <w:pPr>
        <w:pStyle w:val="43"/>
        <w:ind w:firstLine="480"/>
        <w:rPr>
          <w:rFonts w:hint="eastAsia"/>
          <w:lang w:eastAsia="zh-CN"/>
        </w:rPr>
      </w:pPr>
      <w:r>
        <w:rPr>
          <w:rFonts w:hint="eastAsia"/>
          <w:lang w:eastAsia="zh-CN"/>
        </w:rPr>
        <w:t>以上各种原料，各自通过料仓下的出料，输送设备的控制，按一定的配比，经各自计量秤计量后，按石屑、粉煤灰、电石泥、脱硫石膏、水泥顺序依次卸入双卧轴强制式搅拌机，经加水后进行强制式搅拌，制成的混合料送入立式粉碎机中进行粉碎搅拌，经粉碎搅拌后的混合料用皮带机送入压砖机受料斗。</w:t>
      </w:r>
    </w:p>
    <w:p>
      <w:pPr>
        <w:pStyle w:val="43"/>
        <w:ind w:firstLine="480"/>
        <w:rPr>
          <w:rFonts w:hint="eastAsia"/>
          <w:lang w:eastAsia="zh-CN"/>
        </w:rPr>
      </w:pPr>
      <w:r>
        <w:rPr>
          <w:rFonts w:hint="eastAsia"/>
          <w:lang w:eastAsia="zh-CN"/>
        </w:rPr>
        <w:t>3、砖坯成型</w:t>
      </w:r>
    </w:p>
    <w:p>
      <w:pPr>
        <w:pStyle w:val="43"/>
        <w:ind w:firstLine="480"/>
        <w:rPr>
          <w:rFonts w:hint="eastAsia"/>
          <w:lang w:eastAsia="zh-CN"/>
        </w:rPr>
      </w:pPr>
      <w:r>
        <w:rPr>
          <w:rFonts w:hint="eastAsia"/>
          <w:lang w:eastAsia="zh-CN"/>
        </w:rPr>
        <w:t>成型机受料斗将混合料喂入压机模具，经压制成为砖坯，每次成型 34 块，成型周期约 11~14 秒，砖坯经压机传送皮带机送至码垛机，由码垛机将砖坯码放在蒸压小车上，每车码放 1312 块。</w:t>
      </w:r>
    </w:p>
    <w:p>
      <w:pPr>
        <w:pStyle w:val="43"/>
        <w:ind w:firstLine="480"/>
        <w:rPr>
          <w:rFonts w:hint="eastAsia"/>
          <w:lang w:eastAsia="zh-CN"/>
        </w:rPr>
      </w:pPr>
      <w:r>
        <w:rPr>
          <w:rFonts w:hint="eastAsia"/>
          <w:lang w:eastAsia="zh-CN"/>
        </w:rPr>
        <w:t>4、养护与存放</w:t>
      </w:r>
    </w:p>
    <w:p>
      <w:pPr>
        <w:pStyle w:val="43"/>
        <w:ind w:firstLine="480"/>
        <w:rPr>
          <w:rFonts w:hint="eastAsia"/>
          <w:lang w:eastAsia="zh-CN"/>
        </w:rPr>
      </w:pPr>
      <w:r>
        <w:rPr>
          <w:rFonts w:hint="eastAsia"/>
          <w:lang w:eastAsia="zh-CN"/>
        </w:rPr>
        <w:t>码好砖坯的蒸压小车由摆渡车移至釜前编组轨道，摆渡车顶推机构将蒸养下车顶至蒸压釜前轨道，轨道上停放 19 辆蒸压小车后再由釜后移动式卷扬机拉入蒸压釜内进行蒸压养护。关好釜门，开启真空泵约 0.5 小时以排除釜内空气，再送入饱和蒸汽养护。养护制度为：升压 2.0 小时，恒压 6.5 小时（恒压压力为1.1~1.3MPa，温度为 188℃），降压约 1.5 小时，整个养护周期包括进出釜时间共计 11 小时。单釜日产量为 5 万块。养护结束后由卷扬机将蒸压小车连同制品拉出至釜后轨道上，再通过成品叉车将蒸养车上的转码放到成品堆场上。</w:t>
      </w:r>
    </w:p>
    <w:p>
      <w:pPr>
        <w:pStyle w:val="37"/>
      </w:pPr>
      <w:bookmarkStart w:id="7" w:name="_Toc485124293"/>
      <w:bookmarkStart w:id="8" w:name="_Toc501443568"/>
      <w:bookmarkStart w:id="9" w:name="_Toc1117820"/>
      <w:bookmarkStart w:id="10" w:name="_Toc510511013"/>
      <w:r>
        <w:t>2</w:t>
      </w:r>
      <w:r>
        <w:rPr>
          <w:rFonts w:hint="eastAsia"/>
        </w:rPr>
        <w:t>项目区概况</w:t>
      </w:r>
      <w:bookmarkEnd w:id="7"/>
      <w:bookmarkEnd w:id="8"/>
      <w:bookmarkEnd w:id="9"/>
      <w:bookmarkEnd w:id="10"/>
    </w:p>
    <w:p>
      <w:pPr>
        <w:pStyle w:val="40"/>
        <w:ind w:firstLine="480"/>
        <w:rPr>
          <w:rFonts w:hint="eastAsia"/>
          <w:snapToGrid w:val="0"/>
          <w:kern w:val="0"/>
          <w:lang w:eastAsia="zh-CN"/>
        </w:rPr>
      </w:pPr>
      <w:r>
        <w:rPr>
          <w:rFonts w:hint="eastAsia"/>
          <w:snapToGrid w:val="0"/>
          <w:kern w:val="0"/>
          <w:lang w:eastAsia="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40"/>
        <w:ind w:firstLine="480"/>
        <w:rPr>
          <w:rFonts w:hint="eastAsia"/>
          <w:snapToGrid w:val="0"/>
          <w:kern w:val="0"/>
          <w:lang w:eastAsia="zh-CN"/>
        </w:rPr>
      </w:pPr>
      <w:r>
        <w:rPr>
          <w:rFonts w:hint="eastAsia"/>
          <w:snapToGrid w:val="0"/>
          <w:kern w:val="0"/>
          <w:lang w:eastAsia="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40"/>
        <w:ind w:firstLine="480"/>
        <w:rPr>
          <w:rFonts w:hint="default" w:eastAsia="宋体"/>
          <w:snapToGrid w:val="0"/>
          <w:kern w:val="0"/>
          <w:lang w:val="en-US" w:eastAsia="zh-CN"/>
        </w:rPr>
      </w:pPr>
      <w:r>
        <w:rPr>
          <w:rFonts w:hint="default" w:eastAsia="宋体"/>
          <w:snapToGrid w:val="0"/>
          <w:kern w:val="0"/>
          <w:lang w:val="en-US" w:eastAsia="zh-CN"/>
        </w:rPr>
        <w:t>曲沃县境内河流有汾河、浍河、滏河及浍河支流黑河、天河，浍河、滏河均由东向西汇入汾河，属黄河流域汾河水系。</w:t>
      </w:r>
    </w:p>
    <w:p>
      <w:pPr>
        <w:pStyle w:val="40"/>
        <w:ind w:firstLine="480"/>
        <w:rPr>
          <w:rFonts w:hint="default" w:eastAsia="宋体"/>
          <w:snapToGrid w:val="0"/>
          <w:kern w:val="0"/>
          <w:lang w:val="en-US" w:eastAsia="zh-CN"/>
        </w:rPr>
      </w:pPr>
      <w:r>
        <w:rPr>
          <w:rFonts w:hint="default" w:eastAsia="宋体"/>
          <w:snapToGrid w:val="0"/>
          <w:kern w:val="0"/>
          <w:lang w:val="en-US" w:eastAsia="zh-CN"/>
        </w:rPr>
        <w:t>汾河：汾河经襄汾县官滩村入境，从文敬、赵庄、北封王、地封土、高显、高阳、汾阴等村镇向西流入侯马境，境内流程 9.85km，河床纵坡 0.36～0.4‰，平均年径流量 8.37亿m</w:t>
      </w:r>
      <w:r>
        <w:rPr>
          <w:rFonts w:hint="default" w:eastAsia="宋体"/>
          <w:snapToGrid w:val="0"/>
          <w:kern w:val="0"/>
          <w:vertAlign w:val="superscript"/>
          <w:lang w:val="en-US" w:eastAsia="zh-CN"/>
        </w:rPr>
        <w:t xml:space="preserve"> 3</w:t>
      </w:r>
      <w:r>
        <w:rPr>
          <w:rFonts w:hint="default" w:eastAsia="宋体"/>
          <w:snapToGrid w:val="0"/>
          <w:kern w:val="0"/>
          <w:lang w:val="en-US" w:eastAsia="zh-CN"/>
        </w:rPr>
        <w:t>。</w:t>
      </w:r>
    </w:p>
    <w:p>
      <w:pPr>
        <w:pStyle w:val="40"/>
        <w:ind w:firstLine="480"/>
        <w:rPr>
          <w:rFonts w:hint="default" w:eastAsia="宋体"/>
          <w:snapToGrid w:val="0"/>
          <w:kern w:val="0"/>
          <w:lang w:val="en-US" w:eastAsia="zh-CN"/>
        </w:rPr>
      </w:pPr>
      <w:r>
        <w:rPr>
          <w:rFonts w:hint="default" w:eastAsia="宋体"/>
          <w:snapToGrid w:val="0"/>
          <w:kern w:val="0"/>
          <w:lang w:val="en-US" w:eastAsia="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40"/>
        <w:ind w:firstLine="480"/>
        <w:rPr>
          <w:rFonts w:hint="default" w:eastAsia="宋体"/>
          <w:snapToGrid w:val="0"/>
          <w:kern w:val="0"/>
          <w:lang w:val="en-US" w:eastAsia="zh-CN"/>
        </w:rPr>
      </w:pPr>
      <w:r>
        <w:rPr>
          <w:rFonts w:hint="default" w:eastAsia="宋体"/>
          <w:snapToGrid w:val="0"/>
          <w:kern w:val="0"/>
          <w:lang w:val="en-US" w:eastAsia="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w:t>
      </w:r>
      <w:r>
        <w:rPr>
          <w:rFonts w:hint="default" w:eastAsia="宋体"/>
          <w:snapToGrid w:val="0"/>
          <w:kern w:val="0"/>
          <w:vertAlign w:val="superscript"/>
          <w:lang w:val="en-US" w:eastAsia="zh-CN"/>
        </w:rPr>
        <w:t>2</w:t>
      </w:r>
      <w:r>
        <w:rPr>
          <w:rFonts w:hint="default" w:eastAsia="宋体"/>
          <w:snapToGrid w:val="0"/>
          <w:kern w:val="0"/>
          <w:lang w:val="en-US" w:eastAsia="zh-CN"/>
        </w:rPr>
        <w:t>。河床纵坡 8‰。1996 年滏河水库建成后，滏河成为季节性河流。</w:t>
      </w:r>
    </w:p>
    <w:p>
      <w:pPr>
        <w:pStyle w:val="40"/>
        <w:ind w:firstLine="480"/>
        <w:rPr>
          <w:rFonts w:hint="default" w:eastAsia="宋体"/>
          <w:snapToGrid w:val="0"/>
          <w:kern w:val="0"/>
          <w:lang w:val="en-US" w:eastAsia="zh-CN"/>
        </w:rPr>
      </w:pPr>
      <w:r>
        <w:rPr>
          <w:rFonts w:hint="default" w:eastAsia="宋体"/>
          <w:snapToGrid w:val="0"/>
          <w:kern w:val="0"/>
          <w:lang w:val="en-US" w:eastAsia="zh-CN"/>
        </w:rPr>
        <w:t>黑河：源于绛县，从县南属寺流入，后汇入浍河。流程 10km，流域面积28.9km</w:t>
      </w:r>
      <w:r>
        <w:rPr>
          <w:rFonts w:hint="default" w:eastAsia="宋体"/>
          <w:snapToGrid w:val="0"/>
          <w:kern w:val="0"/>
          <w:vertAlign w:val="superscript"/>
          <w:lang w:val="en-US" w:eastAsia="zh-CN"/>
        </w:rPr>
        <w:t>2</w:t>
      </w:r>
      <w:r>
        <w:rPr>
          <w:rFonts w:hint="default" w:eastAsia="宋体"/>
          <w:snapToGrid w:val="0"/>
          <w:kern w:val="0"/>
          <w:lang w:val="en-US" w:eastAsia="zh-CN"/>
        </w:rPr>
        <w:t>。河床纵坡 10‰，常年清水流量 0.1m</w:t>
      </w:r>
      <w:r>
        <w:rPr>
          <w:rFonts w:hint="default" w:eastAsia="宋体"/>
          <w:snapToGrid w:val="0"/>
          <w:kern w:val="0"/>
          <w:vertAlign w:val="superscript"/>
          <w:lang w:val="en-US" w:eastAsia="zh-CN"/>
        </w:rPr>
        <w:t>3</w:t>
      </w:r>
      <w:r>
        <w:rPr>
          <w:rFonts w:hint="default" w:eastAsia="宋体"/>
          <w:snapToGrid w:val="0"/>
          <w:kern w:val="0"/>
          <w:lang w:val="en-US" w:eastAsia="zh-CN"/>
        </w:rPr>
        <w:t xml:space="preserve"> /s。</w:t>
      </w:r>
    </w:p>
    <w:p>
      <w:pPr>
        <w:pStyle w:val="40"/>
        <w:ind w:firstLine="480"/>
        <w:rPr>
          <w:rFonts w:hint="default" w:eastAsia="宋体"/>
          <w:snapToGrid w:val="0"/>
          <w:kern w:val="0"/>
          <w:lang w:val="en-US" w:eastAsia="zh-CN"/>
        </w:rPr>
      </w:pPr>
      <w:r>
        <w:rPr>
          <w:rFonts w:hint="default" w:eastAsia="宋体"/>
          <w:snapToGrid w:val="0"/>
          <w:kern w:val="0"/>
          <w:lang w:val="en-US" w:eastAsia="zh-CN"/>
        </w:rPr>
        <w:t>天河：古称绛水，汇沸泉、龙底泉等水而成。至西周和黑河合流。流程 9.5km，流域面积 18km</w:t>
      </w:r>
      <w:r>
        <w:rPr>
          <w:rFonts w:hint="default" w:eastAsia="宋体"/>
          <w:snapToGrid w:val="0"/>
          <w:kern w:val="0"/>
          <w:vertAlign w:val="superscript"/>
          <w:lang w:val="en-US" w:eastAsia="zh-CN"/>
        </w:rPr>
        <w:t xml:space="preserve"> 2</w:t>
      </w:r>
      <w:r>
        <w:rPr>
          <w:rFonts w:hint="default" w:eastAsia="宋体"/>
          <w:snapToGrid w:val="0"/>
          <w:kern w:val="0"/>
          <w:lang w:val="en-US" w:eastAsia="zh-CN"/>
        </w:rPr>
        <w:t>。河床宽 15m 左右，清水流量 0.03～0.55m3/s。</w:t>
      </w:r>
    </w:p>
    <w:p>
      <w:pPr>
        <w:pStyle w:val="40"/>
        <w:ind w:firstLine="480"/>
        <w:rPr>
          <w:rFonts w:hint="eastAsia"/>
          <w:snapToGrid w:val="0"/>
          <w:kern w:val="0"/>
        </w:rPr>
      </w:pPr>
      <w:r>
        <w:rPr>
          <w:rFonts w:hint="eastAsia"/>
          <w:snapToGrid w:val="0"/>
          <w:kern w:val="0"/>
        </w:rPr>
        <w:t>本项目厂址</w:t>
      </w:r>
      <w:r>
        <w:rPr>
          <w:rFonts w:hint="eastAsia"/>
          <w:snapToGrid w:val="0"/>
          <w:kern w:val="0"/>
          <w:lang w:eastAsia="zh-CN"/>
        </w:rPr>
        <w:t>西</w:t>
      </w:r>
      <w:r>
        <w:rPr>
          <w:rFonts w:hint="eastAsia"/>
          <w:snapToGrid w:val="0"/>
          <w:kern w:val="0"/>
        </w:rPr>
        <w:t>距汾河为</w:t>
      </w:r>
      <w:r>
        <w:rPr>
          <w:rFonts w:hint="eastAsia"/>
          <w:snapToGrid w:val="0"/>
          <w:kern w:val="0"/>
          <w:lang w:val="en-US" w:eastAsia="zh-CN"/>
        </w:rPr>
        <w:t>7.1</w:t>
      </w:r>
      <w:r>
        <w:rPr>
          <w:rFonts w:hint="eastAsia"/>
          <w:snapToGrid w:val="0"/>
          <w:kern w:val="0"/>
        </w:rPr>
        <w:t>km。</w:t>
      </w:r>
    </w:p>
    <w:p>
      <w:pPr>
        <w:pStyle w:val="40"/>
        <w:ind w:firstLine="480"/>
        <w:rPr>
          <w:rFonts w:hint="eastAsia"/>
          <w:snapToGrid w:val="0"/>
          <w:kern w:val="0"/>
        </w:rPr>
      </w:pPr>
      <w:r>
        <w:rPr>
          <w:rFonts w:hint="eastAsia"/>
          <w:snapToGrid w:val="0"/>
          <w:kern w:val="0"/>
        </w:rPr>
        <w:t>据曲沃县气象站观测资料：曲沃县属暖温带大陆性季风气候，受季风影响，一年内四季分明，春温、夏热、秋凉、冬冷。曲沃县年均气温为 12.6℃，一月份 最冷平均气温－2.6℃，极端最低－22.0℃；七月份最热，平均气温 26.2℃，极端 最高气温 40.8℃。正常情况下十月下旬本县最低温度降至 0℃以下，次年四月上旬 升至 0℃以上。年平均降水量为 501.0mm，年季变化较大，最多年 946.9mm，最少 年 226.0mm。主要降水集中于 7－9 月份。按四季划分：夏季最多占 44.5％；秋季次之占 30.9％；春季较少占 19.9％；冬季最少占 4.7％。</w:t>
      </w:r>
    </w:p>
    <w:p>
      <w:pPr>
        <w:pStyle w:val="40"/>
        <w:ind w:firstLine="480"/>
        <w:rPr>
          <w:rFonts w:hint="eastAsia"/>
          <w:snapToGrid w:val="0"/>
          <w:kern w:val="0"/>
        </w:rPr>
      </w:pPr>
      <w:r>
        <w:rPr>
          <w:rFonts w:hint="eastAsia"/>
          <w:snapToGrid w:val="0"/>
          <w:kern w:val="0"/>
        </w:rPr>
        <w:t xml:space="preserve">曲沃县冬春两季多风，春季东南风偏多，冬季西北风偏多，全年及各季主导风向为 ESE 风，多年平均风速为 1.8m/s。 </w:t>
      </w:r>
    </w:p>
    <w:p>
      <w:pPr>
        <w:pStyle w:val="40"/>
        <w:ind w:firstLine="480"/>
        <w:rPr>
          <w:rFonts w:hint="eastAsia"/>
          <w:bCs w:val="0"/>
        </w:rPr>
      </w:pPr>
      <w:r>
        <w:rPr>
          <w:rFonts w:hint="eastAsia"/>
          <w:bCs w:val="0"/>
        </w:rPr>
        <w:t>曲沃县是以粮食为主的农业县，全县土壤分4个土类、10个亚类、15个土属，42个土种。评价区土壤类型主要为褐土中的碳酸盐褐土。</w:t>
      </w:r>
    </w:p>
    <w:p>
      <w:pPr>
        <w:pStyle w:val="40"/>
        <w:ind w:firstLine="480"/>
        <w:rPr>
          <w:bCs w:val="0"/>
        </w:rPr>
      </w:pPr>
      <w:r>
        <w:rPr>
          <w:rFonts w:hint="eastAsia"/>
          <w:bCs w:val="0"/>
        </w:rPr>
        <w:t>根据《山西省土壤侵蚀分区图》，项目区属于</w:t>
      </w:r>
      <w:r>
        <w:rPr>
          <w:rFonts w:hint="eastAsia"/>
          <w:bCs w:val="0"/>
          <w:lang w:eastAsia="zh-CN"/>
        </w:rPr>
        <w:t>冲击平原区</w:t>
      </w:r>
      <w:r>
        <w:rPr>
          <w:rFonts w:hint="eastAsia"/>
          <w:bCs w:val="0"/>
        </w:rPr>
        <w:t>，属水力侵蚀区，土壤容许流失量为1000t/（km</w:t>
      </w:r>
      <w:r>
        <w:rPr>
          <w:rFonts w:hint="eastAsia"/>
          <w:bCs w:val="0"/>
          <w:vertAlign w:val="superscript"/>
        </w:rPr>
        <w:t>2</w:t>
      </w:r>
      <w:r>
        <w:rPr>
          <w:rFonts w:hint="eastAsia"/>
          <w:bCs w:val="0"/>
        </w:rPr>
        <w:t>.a）。项目区属于省级水土流失</w:t>
      </w:r>
      <w:r>
        <w:rPr>
          <w:rFonts w:hint="eastAsia"/>
          <w:bCs w:val="0"/>
          <w:lang w:eastAsia="zh-CN"/>
        </w:rPr>
        <w:t>重点</w:t>
      </w:r>
      <w:r>
        <w:rPr>
          <w:rFonts w:hint="eastAsia"/>
          <w:bCs w:val="0"/>
        </w:rPr>
        <w:t>预防保护区。</w:t>
      </w:r>
    </w:p>
    <w:p>
      <w:pPr>
        <w:pStyle w:val="37"/>
      </w:pPr>
      <w:r>
        <w:rPr>
          <w:rFonts w:hint="eastAsia"/>
        </w:rPr>
        <w:t>3项目选址（线）水土保持评价</w:t>
      </w:r>
    </w:p>
    <w:p>
      <w:pPr>
        <w:pStyle w:val="40"/>
        <w:ind w:firstLine="480"/>
      </w:pPr>
      <w:r>
        <w:rPr>
          <w:rFonts w:hint="eastAsia"/>
        </w:rPr>
        <w:t>根据《中华人民共和国水土保持法》《开发建设项目水土保持技术规范》和《水利部关于严格开发建设项目水土保持方案审查审批工作的通知》的有关规定，对工程建设的水土保持制约因素作了排查。</w:t>
      </w:r>
    </w:p>
    <w:p>
      <w:pPr>
        <w:pStyle w:val="40"/>
        <w:ind w:firstLine="480"/>
        <w:rPr>
          <w:rFonts w:hint="eastAsia"/>
          <w:bCs w:val="0"/>
          <w:snapToGrid w:val="0"/>
          <w:kern w:val="0"/>
        </w:rPr>
      </w:pPr>
      <w:r>
        <w:rPr>
          <w:rFonts w:hint="eastAsia"/>
          <w:bCs w:val="0"/>
          <w:snapToGrid w:val="0"/>
          <w:kern w:val="0"/>
        </w:rPr>
        <w:t>工程选址不属于河流两岸、湖泊和水库周边的植物保护带；不处于全国水土保持监测网络中的水土保持监测站点，重点试验区及国家确定的水土保持长期定位观测站；处于山西省</w:t>
      </w:r>
      <w:r>
        <w:rPr>
          <w:rFonts w:hint="eastAsia"/>
          <w:bCs w:val="0"/>
          <w:snapToGrid w:val="0"/>
          <w:kern w:val="0"/>
          <w:lang w:eastAsia="zh-CN"/>
        </w:rPr>
        <w:t>省</w:t>
      </w:r>
      <w:r>
        <w:rPr>
          <w:rFonts w:hint="eastAsia"/>
          <w:bCs w:val="0"/>
          <w:snapToGrid w:val="0"/>
          <w:kern w:val="0"/>
        </w:rPr>
        <w:t>级</w:t>
      </w:r>
      <w:r>
        <w:rPr>
          <w:rFonts w:hint="eastAsia"/>
          <w:bCs w:val="0"/>
        </w:rPr>
        <w:t>水土流失</w:t>
      </w:r>
      <w:r>
        <w:rPr>
          <w:rFonts w:hint="eastAsia"/>
          <w:bCs w:val="0"/>
          <w:lang w:eastAsia="zh-CN"/>
        </w:rPr>
        <w:t>重点</w:t>
      </w:r>
      <w:r>
        <w:rPr>
          <w:rFonts w:hint="eastAsia"/>
          <w:bCs w:val="0"/>
        </w:rPr>
        <w:t>预防保护区</w:t>
      </w:r>
      <w:r>
        <w:rPr>
          <w:rFonts w:hint="eastAsia"/>
          <w:bCs w:val="0"/>
          <w:snapToGrid w:val="0"/>
          <w:kern w:val="0"/>
        </w:rPr>
        <w:t>，可通过提高防治标准指标值，并加强水土保持措施，减轻工程建设水土流失影响。因此，从水土保持角度分析工程选址合理。</w:t>
      </w:r>
    </w:p>
    <w:p>
      <w:pPr>
        <w:pStyle w:val="40"/>
        <w:ind w:firstLine="480"/>
        <w:rPr>
          <w:rFonts w:hint="eastAsia"/>
          <w:bCs w:val="0"/>
          <w:snapToGrid w:val="0"/>
          <w:kern w:val="0"/>
        </w:rPr>
      </w:pPr>
      <w:r>
        <w:rPr>
          <w:rFonts w:hint="eastAsia"/>
          <w:bCs w:val="0"/>
          <w:snapToGrid w:val="0"/>
          <w:kern w:val="0"/>
        </w:rPr>
        <w:t>1、工程占地评价</w:t>
      </w:r>
    </w:p>
    <w:p>
      <w:pPr>
        <w:pStyle w:val="40"/>
        <w:ind w:firstLine="480"/>
        <w:rPr>
          <w:rFonts w:hint="eastAsia"/>
          <w:bCs w:val="0"/>
          <w:snapToGrid w:val="0"/>
          <w:kern w:val="0"/>
        </w:rPr>
      </w:pPr>
      <w:r>
        <w:rPr>
          <w:rFonts w:hint="eastAsia"/>
          <w:bCs w:val="0"/>
          <w:snapToGrid w:val="0"/>
          <w:kern w:val="0"/>
        </w:rPr>
        <w:t>鉴于本工程特点以及根据《开发建设项目水土保持技术规范》中的规定，</w:t>
      </w:r>
      <w:r>
        <w:rPr>
          <w:rFonts w:hint="eastAsia"/>
          <w:bCs w:val="0"/>
          <w:snapToGrid w:val="0"/>
          <w:kern w:val="0"/>
          <w:lang w:eastAsia="zh-CN"/>
        </w:rPr>
        <w:t>项目为新建项目，</w:t>
      </w:r>
      <w:r>
        <w:rPr>
          <w:rFonts w:hint="eastAsia"/>
          <w:bCs w:val="0"/>
          <w:snapToGrid w:val="0"/>
          <w:kern w:val="0"/>
        </w:rPr>
        <w:t>主体工程占地性质方面，本项目</w:t>
      </w:r>
      <w:r>
        <w:rPr>
          <w:rFonts w:hint="eastAsia"/>
          <w:bCs w:val="0"/>
          <w:snapToGrid w:val="0"/>
          <w:kern w:val="0"/>
          <w:lang w:eastAsia="zh-CN"/>
        </w:rPr>
        <w:t>均</w:t>
      </w:r>
      <w:r>
        <w:rPr>
          <w:rFonts w:hint="eastAsia"/>
          <w:bCs w:val="0"/>
          <w:snapToGrid w:val="0"/>
          <w:kern w:val="0"/>
        </w:rPr>
        <w:t>为永久占地，占地类型方面，本项目占地类型基本为</w:t>
      </w:r>
      <w:r>
        <w:rPr>
          <w:rFonts w:hint="eastAsia"/>
          <w:bCs w:val="0"/>
          <w:snapToGrid w:val="0"/>
          <w:kern w:val="0"/>
          <w:lang w:eastAsia="zh-CN"/>
        </w:rPr>
        <w:t>工业用地</w:t>
      </w:r>
      <w:r>
        <w:rPr>
          <w:rFonts w:hint="eastAsia"/>
          <w:bCs w:val="0"/>
          <w:snapToGrid w:val="0"/>
          <w:kern w:val="0"/>
        </w:rPr>
        <w:t>，未占用生产力较高的耕地和水土保持功能较强的林地，符合水土保持要求。占地指标方面，主体工程本着少占地的原则，充分合理地利用征占地，尽量将工程占地的面积减少到最小。本项目在占地性质、类型和占地指标方面均合理、可行、符合水土保持要求。</w:t>
      </w:r>
    </w:p>
    <w:p>
      <w:pPr>
        <w:pStyle w:val="40"/>
        <w:ind w:firstLine="480"/>
        <w:rPr>
          <w:rFonts w:hint="eastAsia"/>
          <w:bCs w:val="0"/>
          <w:snapToGrid w:val="0"/>
          <w:kern w:val="0"/>
        </w:rPr>
      </w:pPr>
      <w:r>
        <w:rPr>
          <w:rFonts w:hint="eastAsia"/>
          <w:bCs w:val="0"/>
          <w:snapToGrid w:val="0"/>
          <w:kern w:val="0"/>
        </w:rPr>
        <w:t>2、土石方平衡评价</w:t>
      </w:r>
    </w:p>
    <w:p>
      <w:pPr>
        <w:pStyle w:val="40"/>
        <w:ind w:firstLine="480"/>
        <w:rPr>
          <w:rFonts w:hint="eastAsia"/>
          <w:bCs w:val="0"/>
          <w:snapToGrid w:val="0"/>
          <w:kern w:val="0"/>
        </w:rPr>
      </w:pPr>
      <w:r>
        <w:rPr>
          <w:rFonts w:hint="eastAsia"/>
          <w:bCs w:val="0"/>
          <w:snapToGrid w:val="0"/>
          <w:kern w:val="0"/>
        </w:rPr>
        <w:t>本项目建设期挖填总量</w:t>
      </w:r>
      <w:r>
        <w:rPr>
          <w:rFonts w:hint="eastAsia"/>
          <w:bCs w:val="0"/>
          <w:snapToGrid w:val="0"/>
          <w:kern w:val="0"/>
          <w:lang w:val="en-US" w:eastAsia="zh-CN"/>
        </w:rPr>
        <w:t>1.5</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。其中开挖</w:t>
      </w:r>
      <w:r>
        <w:rPr>
          <w:rFonts w:hint="eastAsia"/>
          <w:bCs w:val="0"/>
          <w:snapToGrid w:val="0"/>
          <w:kern w:val="0"/>
          <w:lang w:val="en-US" w:eastAsia="zh-CN"/>
        </w:rPr>
        <w:t>0.75</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，回填</w:t>
      </w:r>
      <w:r>
        <w:rPr>
          <w:rFonts w:hint="eastAsia"/>
          <w:bCs w:val="0"/>
          <w:snapToGrid w:val="0"/>
          <w:kern w:val="0"/>
          <w:lang w:val="en-US" w:eastAsia="zh-CN"/>
        </w:rPr>
        <w:t>0.75</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，无弃方，符合水土保持要求。</w:t>
      </w:r>
    </w:p>
    <w:p>
      <w:pPr>
        <w:pStyle w:val="40"/>
        <w:ind w:firstLine="480"/>
        <w:rPr>
          <w:rFonts w:hint="eastAsia"/>
          <w:bCs w:val="0"/>
          <w:snapToGrid w:val="0"/>
          <w:kern w:val="0"/>
        </w:rPr>
      </w:pPr>
      <w:r>
        <w:rPr>
          <w:rFonts w:hint="eastAsia"/>
          <w:bCs w:val="0"/>
          <w:snapToGrid w:val="0"/>
          <w:kern w:val="0"/>
        </w:rPr>
        <w:t>4、取土（石 、砂）场设置评价</w:t>
      </w:r>
    </w:p>
    <w:p>
      <w:pPr>
        <w:pStyle w:val="40"/>
        <w:ind w:firstLine="480"/>
        <w:rPr>
          <w:rFonts w:hint="eastAsia"/>
          <w:bCs w:val="0"/>
          <w:snapToGrid w:val="0"/>
          <w:kern w:val="0"/>
        </w:rPr>
      </w:pPr>
      <w:r>
        <w:rPr>
          <w:rFonts w:hint="eastAsia"/>
          <w:bCs w:val="0"/>
          <w:snapToGrid w:val="0"/>
          <w:kern w:val="0"/>
        </w:rPr>
        <w:t>本项目不涉及取土场。</w:t>
      </w:r>
    </w:p>
    <w:p>
      <w:pPr>
        <w:pStyle w:val="40"/>
        <w:ind w:firstLine="480"/>
        <w:rPr>
          <w:rFonts w:hint="eastAsia"/>
          <w:bCs w:val="0"/>
          <w:snapToGrid w:val="0"/>
          <w:kern w:val="0"/>
        </w:rPr>
      </w:pPr>
      <w:r>
        <w:rPr>
          <w:rFonts w:hint="eastAsia"/>
          <w:bCs w:val="0"/>
          <w:snapToGrid w:val="0"/>
          <w:kern w:val="0"/>
        </w:rPr>
        <w:t>5、弃土（石、渣、灰、矸石、尾矿）场设置评价</w:t>
      </w:r>
    </w:p>
    <w:p>
      <w:pPr>
        <w:pStyle w:val="40"/>
        <w:ind w:firstLine="480"/>
        <w:rPr>
          <w:rFonts w:hint="eastAsia"/>
          <w:bCs w:val="0"/>
          <w:snapToGrid w:val="0"/>
          <w:kern w:val="0"/>
        </w:rPr>
      </w:pPr>
      <w:r>
        <w:rPr>
          <w:rFonts w:hint="eastAsia"/>
          <w:bCs w:val="0"/>
          <w:snapToGrid w:val="0"/>
          <w:kern w:val="0"/>
          <w:lang w:eastAsia="zh-CN"/>
        </w:rPr>
        <w:t>项目生产过程无</w:t>
      </w:r>
      <w:r>
        <w:rPr>
          <w:rFonts w:hint="eastAsia"/>
          <w:bCs w:val="0"/>
          <w:snapToGrid w:val="0"/>
          <w:kern w:val="0"/>
        </w:rPr>
        <w:t>弃渣产生，最大限度的减少了水土流失，符合水土保持要求。</w:t>
      </w:r>
    </w:p>
    <w:p>
      <w:pPr>
        <w:pStyle w:val="40"/>
        <w:ind w:firstLine="480"/>
        <w:rPr>
          <w:rFonts w:hint="eastAsia"/>
          <w:bCs w:val="0"/>
          <w:snapToGrid w:val="0"/>
          <w:kern w:val="0"/>
        </w:rPr>
      </w:pPr>
      <w:r>
        <w:rPr>
          <w:rFonts w:hint="eastAsia"/>
          <w:bCs w:val="0"/>
          <w:snapToGrid w:val="0"/>
          <w:kern w:val="0"/>
        </w:rPr>
        <w:t>6、施工方法与工艺评价</w:t>
      </w:r>
    </w:p>
    <w:p>
      <w:pPr>
        <w:pStyle w:val="40"/>
        <w:ind w:firstLine="480"/>
        <w:rPr>
          <w:rFonts w:hint="eastAsia"/>
          <w:bCs w:val="0"/>
          <w:snapToGrid w:val="0"/>
          <w:kern w:val="0"/>
        </w:rPr>
      </w:pPr>
      <w:r>
        <w:rPr>
          <w:rFonts w:hint="eastAsia"/>
          <w:bCs w:val="0"/>
          <w:snapToGrid w:val="0"/>
          <w:kern w:val="0"/>
        </w:rPr>
        <w:t>施工所需建筑材料在当地购买，其水土流失防治责任由开采商负责。</w:t>
      </w:r>
    </w:p>
    <w:p>
      <w:pPr>
        <w:pStyle w:val="40"/>
        <w:ind w:firstLine="480"/>
        <w:rPr>
          <w:rFonts w:hint="eastAsia"/>
          <w:bCs w:val="0"/>
          <w:snapToGrid w:val="0"/>
          <w:kern w:val="0"/>
        </w:rPr>
      </w:pPr>
      <w:r>
        <w:rPr>
          <w:rFonts w:hint="eastAsia"/>
          <w:bCs w:val="0"/>
          <w:snapToGrid w:val="0"/>
          <w:kern w:val="0"/>
        </w:rPr>
        <w:t>建筑材料随用随运，利用仓库或专门堆放场集中储存和堆放。</w:t>
      </w:r>
    </w:p>
    <w:p>
      <w:pPr>
        <w:pStyle w:val="40"/>
        <w:ind w:firstLine="480"/>
        <w:rPr>
          <w:rFonts w:hint="eastAsia"/>
          <w:bCs w:val="0"/>
          <w:snapToGrid w:val="0"/>
          <w:kern w:val="0"/>
        </w:rPr>
      </w:pPr>
      <w:r>
        <w:rPr>
          <w:rFonts w:hint="eastAsia"/>
          <w:bCs w:val="0"/>
          <w:snapToGrid w:val="0"/>
          <w:kern w:val="0"/>
        </w:rPr>
        <w:t>主体工程选用的均为比较成熟的施工工艺，通过合理安排工序，防止重复开挖和土方多次倒运。通过合理安排施工进度与时序，缩小了裸露面积和减少裸露时间，同时减少了施工过程中因降水可能产生的水土流失。</w:t>
      </w:r>
    </w:p>
    <w:p>
      <w:pPr>
        <w:pStyle w:val="40"/>
        <w:ind w:firstLine="480"/>
        <w:rPr>
          <w:rFonts w:hint="eastAsia" w:eastAsia="宋体"/>
          <w:bCs w:val="0"/>
          <w:snapToGrid w:val="0"/>
          <w:kern w:val="0"/>
          <w:lang w:val="en-US" w:eastAsia="zh-CN"/>
        </w:rPr>
      </w:pPr>
      <w:r>
        <w:rPr>
          <w:rFonts w:hint="eastAsia"/>
          <w:bCs w:val="0"/>
          <w:snapToGrid w:val="0"/>
          <w:kern w:val="0"/>
        </w:rPr>
        <w:t>综上所述，从水土保持角度出发，以上施工工艺以及施工工序比较合理。</w:t>
      </w:r>
    </w:p>
    <w:p>
      <w:pPr>
        <w:pStyle w:val="37"/>
      </w:pPr>
      <w:r>
        <w:rPr>
          <w:rFonts w:hint="eastAsia"/>
        </w:rPr>
        <w:t>4水土流失影响调查</w:t>
      </w:r>
    </w:p>
    <w:p>
      <w:pPr>
        <w:pStyle w:val="43"/>
        <w:spacing w:line="480" w:lineRule="exact"/>
        <w:ind w:firstLine="480"/>
      </w:pPr>
      <w:r>
        <w:t>综合考虑项目区水力侵蚀以及地表形态、降雨、土壤、植被等水土流失影响因子的特性及调查对象受扰动情况，经过现场调查，并参考项目区土壤侵蚀强度分布图，通过加权平均确定项目区原地貌土壤侵蚀模数为</w:t>
      </w:r>
      <w:r>
        <w:rPr>
          <w:rFonts w:hint="eastAsia"/>
          <w:lang w:val="en-US" w:eastAsia="zh-CN"/>
        </w:rPr>
        <w:t>1500</w:t>
      </w:r>
      <w:r>
        <w:rPr>
          <w:rFonts w:hint="eastAsia"/>
        </w:rPr>
        <w:t>t/km².a</w:t>
      </w:r>
      <w:r>
        <w:t>属于</w:t>
      </w:r>
      <w:r>
        <w:rPr>
          <w:rFonts w:hint="eastAsia"/>
          <w:lang w:eastAsia="zh-CN"/>
        </w:rPr>
        <w:t>轻</w:t>
      </w:r>
      <w:r>
        <w:t>度侵蚀。根据《山西省土壤侵蚀分区图》，项目区属于</w:t>
      </w:r>
      <w:r>
        <w:rPr>
          <w:rFonts w:hint="eastAsia"/>
          <w:lang w:eastAsia="zh-CN"/>
        </w:rPr>
        <w:t>冲击平原区</w:t>
      </w:r>
      <w:r>
        <w:t>，属水力侵蚀区，土壤容许流失量为1000t/（km</w:t>
      </w:r>
      <w:r>
        <w:rPr>
          <w:vertAlign w:val="superscript"/>
        </w:rPr>
        <w:t>2</w:t>
      </w:r>
      <w:r>
        <w:t>.a）。</w:t>
      </w:r>
    </w:p>
    <w:p>
      <w:pPr>
        <w:pStyle w:val="43"/>
        <w:ind w:firstLine="480"/>
        <w:rPr>
          <w:snapToGrid w:val="0"/>
          <w:kern w:val="0"/>
        </w:rPr>
      </w:pPr>
      <w:bookmarkStart w:id="11" w:name="_Toc510511119"/>
      <w:r>
        <w:rPr>
          <w:rFonts w:hint="eastAsia"/>
          <w:snapToGrid w:val="0"/>
          <w:kern w:val="0"/>
        </w:rPr>
        <w:t>a）预测</w:t>
      </w:r>
      <w:bookmarkEnd w:id="11"/>
      <w:r>
        <w:rPr>
          <w:rFonts w:hint="eastAsia"/>
          <w:snapToGrid w:val="0"/>
          <w:kern w:val="0"/>
        </w:rPr>
        <w:t>单元</w:t>
      </w:r>
    </w:p>
    <w:p>
      <w:pPr>
        <w:pStyle w:val="43"/>
        <w:ind w:firstLine="480"/>
        <w:rPr>
          <w:snapToGrid w:val="0"/>
          <w:kern w:val="0"/>
        </w:rPr>
      </w:pPr>
      <w:r>
        <w:rPr>
          <w:snapToGrid w:val="0"/>
          <w:kern w:val="0"/>
        </w:rPr>
        <w:t>根据《生产建设项目水土保持技术标准》（GB50433-2018），结合水土流失因素分析及工程区各功能区域不同的施工特点</w:t>
      </w:r>
      <w:r>
        <w:rPr>
          <w:rFonts w:hint="eastAsia"/>
          <w:snapToGrid w:val="0"/>
          <w:kern w:val="0"/>
          <w:lang w:eastAsia="zh-CN"/>
        </w:rPr>
        <w:t>，输电线路无临时占地，供水管线已自然恢复，故</w:t>
      </w:r>
      <w:r>
        <w:rPr>
          <w:snapToGrid w:val="0"/>
          <w:kern w:val="0"/>
        </w:rPr>
        <w:t>划分为</w:t>
      </w:r>
      <w:r>
        <w:rPr>
          <w:rFonts w:hint="eastAsia"/>
          <w:snapToGrid w:val="0"/>
          <w:kern w:val="0"/>
          <w:lang w:eastAsia="zh-CN"/>
        </w:rPr>
        <w:t>工业场地、进场道路</w:t>
      </w:r>
      <w:r>
        <w:rPr>
          <w:rFonts w:hint="eastAsia"/>
          <w:snapToGrid w:val="0"/>
          <w:kern w:val="0"/>
          <w:lang w:val="en-US" w:eastAsia="zh-CN"/>
        </w:rPr>
        <w:t>2</w:t>
      </w:r>
      <w:r>
        <w:rPr>
          <w:snapToGrid w:val="0"/>
          <w:kern w:val="0"/>
        </w:rPr>
        <w:t>个单元</w:t>
      </w:r>
      <w:r>
        <w:rPr>
          <w:rFonts w:hint="eastAsia"/>
          <w:snapToGrid w:val="0"/>
          <w:kern w:val="0"/>
        </w:rPr>
        <w:t>。</w:t>
      </w:r>
    </w:p>
    <w:p>
      <w:pPr>
        <w:pStyle w:val="43"/>
        <w:ind w:firstLine="480"/>
        <w:rPr>
          <w:snapToGrid w:val="0"/>
          <w:kern w:val="0"/>
        </w:rPr>
      </w:pPr>
      <w:r>
        <w:rPr>
          <w:rFonts w:hint="eastAsia"/>
          <w:snapToGrid w:val="0"/>
          <w:kern w:val="0"/>
        </w:rPr>
        <w:t>b）预测时段</w:t>
      </w:r>
    </w:p>
    <w:p>
      <w:pPr>
        <w:pStyle w:val="43"/>
        <w:adjustRightInd/>
        <w:snapToGrid/>
        <w:ind w:firstLine="480"/>
        <w:rPr>
          <w:snapToGrid w:val="0"/>
        </w:rPr>
      </w:pPr>
      <w:r>
        <w:rPr>
          <w:snapToGrid w:val="0"/>
          <w:lang w:val="zh-CN"/>
        </w:rPr>
        <w:t>施工期由于</w:t>
      </w:r>
      <w:r>
        <w:rPr>
          <w:rFonts w:hint="eastAsia"/>
          <w:snapToGrid w:val="0"/>
          <w:lang w:val="zh-CN"/>
        </w:rPr>
        <w:t>场地平整</w:t>
      </w:r>
      <w:r>
        <w:rPr>
          <w:snapToGrid w:val="0"/>
          <w:lang w:val="zh-CN"/>
        </w:rPr>
        <w:t>、建筑等施工活动，</w:t>
      </w:r>
      <w:r>
        <w:rPr>
          <w:rFonts w:hint="eastAsia"/>
          <w:snapToGrid w:val="0"/>
          <w:lang w:val="zh-CN"/>
        </w:rPr>
        <w:t>将</w:t>
      </w:r>
      <w:r>
        <w:rPr>
          <w:snapToGrid w:val="0"/>
          <w:lang w:val="zh-CN"/>
        </w:rPr>
        <w:t>使原地貌的植被覆盖率下降，地表裸露，土壤结构遭到破坏，造成大量的水土流失。施工结束后，随着水土保持防治措施发挥作用和自然植被的逐渐恢复，水土流失逐渐减少。根据不同时段水土流失的差异性，将水土流失预测时段分为施工期和自然恢复期。</w:t>
      </w:r>
      <w:r>
        <w:rPr>
          <w:rFonts w:hint="eastAsia"/>
          <w:snapToGrid w:val="0"/>
          <w:lang w:val="zh-CN"/>
        </w:rPr>
        <w:t>施工期按</w:t>
      </w:r>
      <w:r>
        <w:rPr>
          <w:rFonts w:hint="eastAsia"/>
          <w:snapToGrid w:val="0"/>
          <w:lang w:val="en-US" w:eastAsia="zh-CN"/>
        </w:rPr>
        <w:t>3.5</w:t>
      </w:r>
      <w:r>
        <w:rPr>
          <w:rFonts w:hint="eastAsia"/>
          <w:snapToGrid w:val="0"/>
          <w:lang w:val="zh-CN"/>
        </w:rPr>
        <w:t>年计，</w:t>
      </w:r>
      <w:r>
        <w:rPr>
          <w:snapToGrid w:val="0"/>
          <w:lang w:val="zh-CN"/>
        </w:rPr>
        <w:t>自然恢复期预测时段为</w:t>
      </w:r>
      <w:r>
        <w:rPr>
          <w:rFonts w:hint="eastAsia"/>
          <w:snapToGrid w:val="0"/>
          <w:lang w:val="en-US" w:eastAsia="zh-CN"/>
        </w:rPr>
        <w:t>3</w:t>
      </w:r>
      <w:r>
        <w:rPr>
          <w:snapToGrid w:val="0"/>
          <w:lang w:val="zh-CN"/>
        </w:rPr>
        <w:t>年。</w:t>
      </w:r>
    </w:p>
    <w:p>
      <w:pPr>
        <w:pStyle w:val="43"/>
        <w:ind w:firstLine="361" w:firstLineChars="150"/>
        <w:rPr>
          <w:snapToGrid w:val="0"/>
          <w:kern w:val="0"/>
        </w:rPr>
      </w:pPr>
      <w:r>
        <w:rPr>
          <w:rFonts w:hint="eastAsia" w:eastAsia="黑体"/>
          <w:b/>
          <w:szCs w:val="28"/>
        </w:rPr>
        <w:t>c</w:t>
      </w:r>
      <w:r>
        <w:rPr>
          <w:rFonts w:hint="eastAsia"/>
          <w:snapToGrid w:val="0"/>
          <w:kern w:val="0"/>
        </w:rPr>
        <w:t>）水土流失量计算方法</w:t>
      </w:r>
    </w:p>
    <w:p>
      <w:pPr>
        <w:pStyle w:val="43"/>
        <w:adjustRightInd/>
        <w:snapToGrid/>
        <w:ind w:firstLine="480"/>
        <w:rPr>
          <w:snapToGrid w:val="0"/>
        </w:rPr>
      </w:pPr>
      <w:r>
        <w:rPr>
          <w:snapToGrid w:val="0"/>
          <w:lang w:val="zh-CN"/>
        </w:rPr>
        <w:t>水土流失量计算公式如下：</w:t>
      </w:r>
    </w:p>
    <w:p>
      <w:pPr>
        <w:rPr>
          <w:rFonts w:cs="Times New Roman"/>
          <w:snapToGrid w:val="0"/>
        </w:rPr>
      </w:pPr>
      <w:r>
        <w:rPr>
          <w:rFonts w:cs="Times New Roman"/>
        </w:rPr>
        <w:drawing>
          <wp:anchor distT="0" distB="0" distL="114300" distR="114300" simplePos="0" relativeHeight="251659264" behindDoc="0" locked="0" layoutInCell="1" allowOverlap="1">
            <wp:simplePos x="0" y="0"/>
            <wp:positionH relativeFrom="column">
              <wp:align>center</wp:align>
            </wp:positionH>
            <wp:positionV relativeFrom="paragraph">
              <wp:posOffset>107950</wp:posOffset>
            </wp:positionV>
            <wp:extent cx="1828800" cy="510540"/>
            <wp:effectExtent l="0" t="0" r="0" b="0"/>
            <wp:wrapNone/>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noChangeArrowheads="1"/>
                    </pic:cNvPicPr>
                  </pic:nvPicPr>
                  <pic:blipFill>
                    <a:blip r:embed="rId10"/>
                    <a:srcRect/>
                    <a:stretch>
                      <a:fillRect/>
                    </a:stretch>
                  </pic:blipFill>
                  <pic:spPr>
                    <a:xfrm>
                      <a:off x="0" y="0"/>
                      <a:ext cx="1828800" cy="510540"/>
                    </a:xfrm>
                    <a:prstGeom prst="rect">
                      <a:avLst/>
                    </a:prstGeom>
                    <a:noFill/>
                  </pic:spPr>
                </pic:pic>
              </a:graphicData>
            </a:graphic>
          </wp:anchor>
        </w:drawing>
      </w:r>
    </w:p>
    <w:p>
      <w:pPr>
        <w:wordWrap w:val="0"/>
        <w:spacing w:line="360" w:lineRule="auto"/>
        <w:ind w:firstLine="480"/>
        <w:jc w:val="right"/>
        <w:rPr>
          <w:rFonts w:cs="Times New Roman"/>
          <w:snapToGrid w:val="0"/>
        </w:rPr>
      </w:pPr>
    </w:p>
    <w:p>
      <w:pPr>
        <w:ind w:firstLine="560"/>
        <w:jc w:val="right"/>
        <w:rPr>
          <w:rFonts w:cs="Times New Roman"/>
          <w:snapToGrid w:val="0"/>
        </w:rPr>
      </w:pPr>
      <w:r>
        <w:rPr>
          <w:rFonts w:cs="Times New Roman"/>
        </w:rPr>
        <w:drawing>
          <wp:anchor distT="0" distB="0" distL="114300" distR="114300" simplePos="0" relativeHeight="251660288" behindDoc="0" locked="0" layoutInCell="1" allowOverlap="1">
            <wp:simplePos x="0" y="0"/>
            <wp:positionH relativeFrom="column">
              <wp:posOffset>1791970</wp:posOffset>
            </wp:positionH>
            <wp:positionV relativeFrom="paragraph">
              <wp:posOffset>10160</wp:posOffset>
            </wp:positionV>
            <wp:extent cx="2066290" cy="510540"/>
            <wp:effectExtent l="0" t="0" r="0" b="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noChangeArrowheads="1"/>
                    </pic:cNvPicPr>
                  </pic:nvPicPr>
                  <pic:blipFill>
                    <a:blip r:embed="rId11"/>
                    <a:srcRect/>
                    <a:stretch>
                      <a:fillRect/>
                    </a:stretch>
                  </pic:blipFill>
                  <pic:spPr>
                    <a:xfrm>
                      <a:off x="0" y="0"/>
                      <a:ext cx="2066290" cy="510540"/>
                    </a:xfrm>
                    <a:prstGeom prst="rect">
                      <a:avLst/>
                    </a:prstGeom>
                    <a:noFill/>
                  </pic:spPr>
                </pic:pic>
              </a:graphicData>
            </a:graphic>
          </wp:anchor>
        </w:drawing>
      </w:r>
    </w:p>
    <w:p>
      <w:pPr>
        <w:pStyle w:val="43"/>
        <w:ind w:firstLine="0" w:firstLineChars="0"/>
        <w:rPr>
          <w:snapToGrid w:val="0"/>
          <w:lang w:val="zh-CN"/>
        </w:rPr>
      </w:pPr>
    </w:p>
    <w:p>
      <w:pPr>
        <w:pStyle w:val="43"/>
        <w:ind w:firstLine="0" w:firstLineChars="0"/>
        <w:rPr>
          <w:snapToGrid w:val="0"/>
        </w:rPr>
      </w:pPr>
      <w:r>
        <w:rPr>
          <w:snapToGrid w:val="0"/>
          <w:lang w:val="zh-CN"/>
        </w:rPr>
        <w:t>式中</w:t>
      </w:r>
      <w:r>
        <w:rPr>
          <w:rFonts w:hint="eastAsia"/>
          <w:snapToGrid w:val="0"/>
          <w:lang w:val="zh-CN"/>
        </w:rPr>
        <w:t>：</w:t>
      </w:r>
      <w:r>
        <w:rPr>
          <w:snapToGrid w:val="0"/>
        </w:rPr>
        <w:t>W——</w:t>
      </w:r>
      <w:r>
        <w:rPr>
          <w:snapToGrid w:val="0"/>
          <w:lang w:val="zh-CN"/>
        </w:rPr>
        <w:t>土壤流失量</w:t>
      </w:r>
      <w:r>
        <w:rPr>
          <w:snapToGrid w:val="0"/>
        </w:rPr>
        <w:t>（t）；</w:t>
      </w:r>
    </w:p>
    <w:p>
      <w:pPr>
        <w:pStyle w:val="43"/>
        <w:ind w:left="708" w:leftChars="295" w:firstLine="0" w:firstLineChars="0"/>
        <w:rPr>
          <w:snapToGrid w:val="0"/>
        </w:rPr>
      </w:pPr>
      <w:r>
        <w:rPr>
          <w:rFonts w:ascii="Cambria Math" w:hAnsi="Cambria Math" w:cs="Cambria Math"/>
          <w:snapToGrid w:val="0"/>
        </w:rPr>
        <w:t>△</w:t>
      </w:r>
      <w:r>
        <w:rPr>
          <w:snapToGrid w:val="0"/>
        </w:rPr>
        <w:t>W——</w:t>
      </w:r>
      <w:r>
        <w:rPr>
          <w:snapToGrid w:val="0"/>
          <w:lang w:val="zh-CN"/>
        </w:rPr>
        <w:t>新增土壤流失量</w:t>
      </w:r>
      <w:r>
        <w:rPr>
          <w:snapToGrid w:val="0"/>
        </w:rPr>
        <w:t>（t）；</w:t>
      </w:r>
    </w:p>
    <w:p>
      <w:pPr>
        <w:pStyle w:val="43"/>
        <w:ind w:left="708" w:leftChars="295" w:firstLine="0" w:firstLineChars="0"/>
        <w:rPr>
          <w:snapToGrid w:val="0"/>
        </w:rPr>
      </w:pPr>
      <w:r>
        <w:rPr>
          <w:snapToGrid w:val="0"/>
        </w:rPr>
        <w:t>i——</w:t>
      </w:r>
      <w:r>
        <w:rPr>
          <w:snapToGrid w:val="0"/>
          <w:lang w:val="zh-CN"/>
        </w:rPr>
        <w:t>预测单元（</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w:t>
      </w:r>
      <w:r>
        <w:rPr>
          <w:snapToGrid w:val="0"/>
        </w:rPr>
        <w:t>……n</w:t>
      </w:r>
      <w:r>
        <w:rPr>
          <w:snapToGrid w:val="0"/>
          <w:lang w:val="zh-CN"/>
        </w:rPr>
        <w:t>）；</w:t>
      </w:r>
    </w:p>
    <w:p>
      <w:pPr>
        <w:pStyle w:val="43"/>
        <w:ind w:left="708" w:leftChars="295" w:firstLine="0" w:firstLineChars="0"/>
        <w:rPr>
          <w:snapToGrid w:val="0"/>
        </w:rPr>
      </w:pPr>
      <w:r>
        <w:rPr>
          <w:snapToGrid w:val="0"/>
        </w:rPr>
        <w:t>k——</w:t>
      </w:r>
      <w:r>
        <w:rPr>
          <w:snapToGrid w:val="0"/>
          <w:lang w:val="zh-CN"/>
        </w:rPr>
        <w:t>预测时段，</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，指施工准备期、施工期和自然恢复期；</w:t>
      </w:r>
    </w:p>
    <w:p>
      <w:pPr>
        <w:pStyle w:val="43"/>
        <w:ind w:left="708" w:leftChars="295" w:firstLine="0" w:firstLineChars="0"/>
        <w:rPr>
          <w:snapToGrid w:val="0"/>
        </w:rPr>
      </w:pPr>
      <w:r>
        <w:rPr>
          <w:snapToGrid w:val="0"/>
        </w:rPr>
        <w:t>F</w:t>
      </w:r>
      <w:r>
        <w:rPr>
          <w:snapToGrid w:val="0"/>
          <w:vertAlign w:val="subscript"/>
        </w:rPr>
        <w:t>i</w:t>
      </w:r>
      <w:r>
        <w:rPr>
          <w:snapToGrid w:val="0"/>
        </w:rPr>
        <w:t>——</w:t>
      </w:r>
      <w:r>
        <w:rPr>
          <w:snapToGrid w:val="0"/>
          <w:lang w:val="zh-CN"/>
        </w:rPr>
        <w:t>第</w:t>
      </w:r>
      <w:r>
        <w:rPr>
          <w:snapToGrid w:val="0"/>
        </w:rPr>
        <w:t>i</w:t>
      </w:r>
      <w:r>
        <w:rPr>
          <w:snapToGrid w:val="0"/>
          <w:lang w:val="zh-CN"/>
        </w:rPr>
        <w:t>个预测单元的面积</w:t>
      </w:r>
      <w:r>
        <w:rPr>
          <w:rFonts w:hint="eastAsia"/>
          <w:snapToGrid w:val="0"/>
          <w:lang w:val="zh-CN"/>
        </w:rPr>
        <w:t>（</w:t>
      </w:r>
      <w:r>
        <w:rPr>
          <w:snapToGrid w:val="0"/>
        </w:rPr>
        <w:t>km</w:t>
      </w:r>
      <w:r>
        <w:rPr>
          <w:snapToGrid w:val="0"/>
          <w:vertAlign w:val="superscript"/>
        </w:rPr>
        <w:t>2</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M</w:t>
      </w:r>
      <w:r>
        <w:rPr>
          <w:snapToGrid w:val="0"/>
          <w:vertAlign w:val="subscript"/>
        </w:rPr>
        <w:t>ik</w:t>
      </w:r>
      <w:r>
        <w:rPr>
          <w:snapToGrid w:val="0"/>
        </w:rPr>
        <w:t>——</w:t>
      </w:r>
      <w:r>
        <w:rPr>
          <w:snapToGrid w:val="0"/>
          <w:lang w:val="zh-CN"/>
        </w:rPr>
        <w:t>扰动后不同预测单元不同时段的土壤侵蚀模数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rPr>
        <w:t>）</w:t>
      </w:r>
      <w:r>
        <w:rPr>
          <w:snapToGrid w:val="0"/>
          <w:lang w:val="zh-CN"/>
        </w:rPr>
        <w:t>；</w:t>
      </w:r>
    </w:p>
    <w:p>
      <w:pPr>
        <w:pStyle w:val="43"/>
        <w:ind w:left="708" w:leftChars="295" w:firstLine="0" w:firstLineChars="0"/>
        <w:rPr>
          <w:snapToGrid w:val="0"/>
        </w:rPr>
      </w:pPr>
      <w:r>
        <w:rPr>
          <w:rFonts w:ascii="Cambria Math" w:hAnsi="Cambria Math" w:cs="Cambria Math"/>
          <w:snapToGrid w:val="0"/>
          <w:lang w:val="zh-CN"/>
        </w:rPr>
        <w:t>△</w:t>
      </w:r>
      <w:r>
        <w:rPr>
          <w:snapToGrid w:val="0"/>
        </w:rPr>
        <w:t>M</w:t>
      </w:r>
      <w:r>
        <w:rPr>
          <w:snapToGrid w:val="0"/>
          <w:vertAlign w:val="subscript"/>
        </w:rPr>
        <w:t>ik</w:t>
      </w:r>
      <w:r>
        <w:rPr>
          <w:snapToGrid w:val="0"/>
        </w:rPr>
        <w:t>——</w:t>
      </w:r>
      <w:r>
        <w:rPr>
          <w:snapToGrid w:val="0"/>
          <w:lang w:val="zh-CN"/>
        </w:rPr>
        <w:t>不同单元各时段新增土壤侵蚀模数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M</w:t>
      </w:r>
      <w:r>
        <w:rPr>
          <w:snapToGrid w:val="0"/>
          <w:vertAlign w:val="subscript"/>
        </w:rPr>
        <w:t>i0</w:t>
      </w:r>
      <w:r>
        <w:rPr>
          <w:snapToGrid w:val="0"/>
        </w:rPr>
        <w:t>——</w:t>
      </w:r>
      <w:r>
        <w:rPr>
          <w:snapToGrid w:val="0"/>
          <w:lang w:val="zh-CN"/>
        </w:rPr>
        <w:t>扰动前不同预测单元土壤侵蚀模数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T</w:t>
      </w:r>
      <w:r>
        <w:rPr>
          <w:snapToGrid w:val="0"/>
          <w:vertAlign w:val="subscript"/>
        </w:rPr>
        <w:t>ik</w:t>
      </w:r>
      <w:r>
        <w:rPr>
          <w:snapToGrid w:val="0"/>
        </w:rPr>
        <w:t>——</w:t>
      </w:r>
      <w:r>
        <w:rPr>
          <w:snapToGrid w:val="0"/>
          <w:lang w:val="zh-CN"/>
        </w:rPr>
        <w:t>预测时段</w:t>
      </w:r>
      <w:r>
        <w:rPr>
          <w:rFonts w:hint="eastAsia"/>
          <w:snapToGrid w:val="0"/>
          <w:lang w:val="zh-CN"/>
        </w:rPr>
        <w:t>（</w:t>
      </w:r>
      <w:r>
        <w:rPr>
          <w:snapToGrid w:val="0"/>
        </w:rPr>
        <w:t>a</w:t>
      </w:r>
      <w:r>
        <w:rPr>
          <w:rFonts w:hint="eastAsia"/>
          <w:snapToGrid w:val="0"/>
          <w:lang w:val="zh-CN"/>
        </w:rPr>
        <w:t>）</w:t>
      </w:r>
      <w:r>
        <w:rPr>
          <w:snapToGrid w:val="0"/>
          <w:lang w:val="zh-CN"/>
        </w:rPr>
        <w:t>。</w:t>
      </w:r>
    </w:p>
    <w:p>
      <w:pPr>
        <w:pStyle w:val="43"/>
        <w:ind w:firstLine="480"/>
        <w:rPr>
          <w:snapToGrid w:val="0"/>
          <w:kern w:val="0"/>
        </w:rPr>
      </w:pPr>
      <w:r>
        <w:rPr>
          <w:rFonts w:hint="eastAsia"/>
          <w:snapToGrid w:val="0"/>
          <w:kern w:val="0"/>
        </w:rPr>
        <w:t>d）土壤侵蚀模数确定</w:t>
      </w:r>
    </w:p>
    <w:p>
      <w:pPr>
        <w:pStyle w:val="43"/>
        <w:ind w:firstLine="480"/>
      </w:pPr>
      <w:r>
        <w:rPr>
          <w:rFonts w:hint="eastAsia"/>
        </w:rPr>
        <w:t>1）水土流失背景值的确定</w:t>
      </w:r>
    </w:p>
    <w:p>
      <w:pPr>
        <w:pStyle w:val="43"/>
        <w:spacing w:line="520" w:lineRule="exact"/>
        <w:ind w:firstLine="480"/>
        <w:rPr>
          <w:rFonts w:hint="eastAsia"/>
          <w:snapToGrid w:val="0"/>
        </w:rPr>
      </w:pPr>
      <w:r>
        <w:rPr>
          <w:rFonts w:hint="eastAsia"/>
          <w:snapToGrid w:val="0"/>
        </w:rPr>
        <w:t>根据遥感解译，结合实地调查，</w:t>
      </w:r>
      <w:r>
        <w:rPr>
          <w:rFonts w:hint="eastAsia"/>
          <w:snapToGrid w:val="0"/>
          <w:lang w:eastAsia="zh-CN"/>
        </w:rPr>
        <w:t>项目区</w:t>
      </w:r>
      <w:r>
        <w:rPr>
          <w:rFonts w:hint="eastAsia"/>
          <w:snapToGrid w:val="0"/>
        </w:rPr>
        <w:t>土壤侵蚀强度以</w:t>
      </w:r>
      <w:r>
        <w:rPr>
          <w:rFonts w:hint="eastAsia"/>
          <w:snapToGrid w:val="0"/>
          <w:lang w:eastAsia="zh-CN"/>
        </w:rPr>
        <w:t>轻</w:t>
      </w:r>
      <w:r>
        <w:rPr>
          <w:rFonts w:hint="eastAsia"/>
          <w:snapToGrid w:val="0"/>
        </w:rPr>
        <w:t>度侵蚀为主</w:t>
      </w:r>
      <w:r>
        <w:rPr>
          <w:rFonts w:hint="eastAsia"/>
          <w:snapToGrid w:val="0"/>
          <w:lang w:eastAsia="zh-CN"/>
        </w:rPr>
        <w:t>，</w:t>
      </w:r>
      <w:r>
        <w:rPr>
          <w:rFonts w:hint="eastAsia"/>
          <w:snapToGrid w:val="0"/>
        </w:rPr>
        <w:t>通过加权平均确定项目区原地貌土壤侵蚀模数为</w:t>
      </w:r>
      <w:r>
        <w:rPr>
          <w:rFonts w:hint="eastAsia"/>
          <w:snapToGrid w:val="0"/>
          <w:lang w:val="en-US" w:eastAsia="zh-CN"/>
        </w:rPr>
        <w:t>1500</w:t>
      </w:r>
      <w:r>
        <w:rPr>
          <w:rFonts w:hint="eastAsia"/>
          <w:snapToGrid w:val="0"/>
        </w:rPr>
        <w:t>t/km².a。</w:t>
      </w:r>
    </w:p>
    <w:p>
      <w:pPr>
        <w:pStyle w:val="43"/>
        <w:spacing w:line="520" w:lineRule="exact"/>
        <w:ind w:firstLine="480"/>
        <w:rPr>
          <w:snapToGrid w:val="0"/>
        </w:rPr>
      </w:pPr>
      <w:r>
        <w:rPr>
          <w:rFonts w:hint="eastAsia"/>
          <w:snapToGrid w:val="0"/>
        </w:rPr>
        <w:t>2）</w:t>
      </w:r>
      <w:r>
        <w:rPr>
          <w:snapToGrid w:val="0"/>
        </w:rPr>
        <w:t>扰动后土壤侵蚀模数确定</w:t>
      </w:r>
    </w:p>
    <w:p>
      <w:pPr>
        <w:pStyle w:val="43"/>
        <w:ind w:firstLine="480"/>
        <w:rPr>
          <w:rFonts w:hint="eastAsia"/>
        </w:rPr>
      </w:pPr>
      <w:r>
        <w:rPr>
          <w:rFonts w:hint="eastAsia"/>
        </w:rPr>
        <w:t>工程的建设使项目区原地貌用途、形态发生了根本改变，形成不同类型、不同形式的再塑地貌。再塑地貌的水土流失特征在原地貌基础上随之发生了根本性的变化。参照其他工程经验，如果把原地貌的水土流失视为1的话，则再塑地貌土壤侵蚀模数是原地貌的1.4～3.0倍，当年弃土≤4.5倍。根据项目区的气候特征，确定自然恢复期为3年，自然恢复期扰动土壤侵蚀模数逐年递减，在第三年接近或等于原地貌土壤侵蚀模数。</w:t>
      </w:r>
    </w:p>
    <w:p>
      <w:pPr>
        <w:pStyle w:val="43"/>
        <w:ind w:firstLine="480"/>
        <w:rPr>
          <w:rFonts w:hint="eastAsia"/>
        </w:rPr>
      </w:pPr>
      <w:r>
        <w:rPr>
          <w:rFonts w:hint="eastAsia"/>
        </w:rPr>
        <w:t>扰动后的地面土壤侵蚀模数详见表4-1。</w:t>
      </w:r>
    </w:p>
    <w:p>
      <w:pPr>
        <w:pStyle w:val="43"/>
        <w:ind w:firstLine="480"/>
        <w:rPr>
          <w:rFonts w:hint="eastAsia"/>
        </w:rPr>
      </w:pPr>
    </w:p>
    <w:p>
      <w:pPr>
        <w:pStyle w:val="48"/>
      </w:pPr>
      <w:r>
        <w:t>表</w:t>
      </w:r>
      <w:r>
        <w:rPr>
          <w:rFonts w:hint="eastAsia"/>
        </w:rPr>
        <w:t xml:space="preserve">4-1             </w:t>
      </w:r>
      <w:r>
        <w:t>扰动</w:t>
      </w:r>
      <w:r>
        <w:rPr>
          <w:rFonts w:hint="eastAsia"/>
        </w:rPr>
        <w:t>后</w:t>
      </w:r>
      <w:r>
        <w:t>地面土壤侵蚀模数特征值</w:t>
      </w:r>
      <w:r>
        <w:rPr>
          <w:rFonts w:hint="eastAsia"/>
        </w:rPr>
        <w:t xml:space="preserve">               单位：</w:t>
      </w:r>
      <w:r>
        <w:rPr>
          <w:rFonts w:eastAsia="宋体"/>
          <w:kern w:val="0"/>
          <w:sz w:val="21"/>
          <w:szCs w:val="21"/>
        </w:rPr>
        <w:t>t/（km</w:t>
      </w:r>
      <w:r>
        <w:rPr>
          <w:rFonts w:eastAsia="宋体"/>
          <w:kern w:val="0"/>
          <w:sz w:val="21"/>
          <w:szCs w:val="21"/>
          <w:vertAlign w:val="superscript"/>
        </w:rPr>
        <w:t>2</w:t>
      </w:r>
      <w:r>
        <w:rPr>
          <w:rFonts w:eastAsia="宋体"/>
          <w:kern w:val="0"/>
          <w:sz w:val="21"/>
          <w:szCs w:val="21"/>
        </w:rPr>
        <w:t>·a）</w:t>
      </w:r>
    </w:p>
    <w:tbl>
      <w:tblPr>
        <w:tblStyle w:val="2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433"/>
        <w:gridCol w:w="2758"/>
        <w:gridCol w:w="934"/>
        <w:gridCol w:w="101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时段</w:t>
            </w:r>
          </w:p>
        </w:tc>
        <w:tc>
          <w:tcPr>
            <w:tcW w:w="143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预测区域</w:t>
            </w:r>
          </w:p>
        </w:tc>
        <w:tc>
          <w:tcPr>
            <w:tcW w:w="2758"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原地貌侵蚀模数（t/km2•a）</w:t>
            </w:r>
          </w:p>
        </w:tc>
        <w:tc>
          <w:tcPr>
            <w:tcW w:w="2968" w:type="dxa"/>
            <w:gridSpan w:val="3"/>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扰动后的侵蚀模数（t/km2•a）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restart"/>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建设期</w:t>
            </w: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continue"/>
            <w:noWrap w:val="0"/>
            <w:vAlign w:val="center"/>
          </w:tcPr>
          <w:p>
            <w:pPr>
              <w:jc w:val="center"/>
              <w:rPr>
                <w:rFonts w:hint="eastAsia" w:ascii="宋体" w:hAnsi="宋体" w:eastAsia="宋体" w:cs="宋体"/>
                <w:color w:val="auto"/>
                <w:sz w:val="21"/>
                <w:szCs w:val="21"/>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进场道路</w:t>
            </w:r>
          </w:p>
        </w:tc>
        <w:tc>
          <w:tcPr>
            <w:tcW w:w="275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restart"/>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自然恢复期</w:t>
            </w:r>
          </w:p>
        </w:tc>
        <w:tc>
          <w:tcPr>
            <w:tcW w:w="1433"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continue"/>
            <w:noWrap w:val="0"/>
            <w:vAlign w:val="center"/>
          </w:tcPr>
          <w:p>
            <w:pPr>
              <w:jc w:val="center"/>
              <w:rPr>
                <w:rFonts w:hint="eastAsia" w:ascii="宋体" w:hAnsi="宋体" w:eastAsia="宋体" w:cs="宋体"/>
                <w:color w:val="auto"/>
                <w:sz w:val="21"/>
                <w:szCs w:val="21"/>
                <w:lang w:val="en-US" w:eastAsia="zh-CN"/>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供水管线</w:t>
            </w:r>
          </w:p>
        </w:tc>
        <w:tc>
          <w:tcPr>
            <w:tcW w:w="275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bl>
    <w:p>
      <w:pPr>
        <w:pStyle w:val="43"/>
        <w:ind w:firstLine="480"/>
        <w:rPr>
          <w:snapToGrid w:val="0"/>
          <w:kern w:val="0"/>
        </w:rPr>
      </w:pPr>
      <w:r>
        <w:rPr>
          <w:rFonts w:hint="eastAsia"/>
          <w:snapToGrid w:val="0"/>
          <w:kern w:val="0"/>
        </w:rPr>
        <w:t>e)预测结果</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-2</w:t>
      </w:r>
      <w:r>
        <w:rPr>
          <w:rFonts w:ascii="Times New Roman" w:hAnsi="Times New Roman" w:eastAsia="仿宋_GB2312"/>
          <w:b/>
          <w:bCs/>
          <w:sz w:val="24"/>
        </w:rPr>
        <w:t xml:space="preserve">  水土流失预测时段一览表</w:t>
      </w:r>
    </w:p>
    <w:tbl>
      <w:tblPr>
        <w:tblStyle w:val="24"/>
        <w:tblW w:w="890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0"/>
        <w:gridCol w:w="1616"/>
        <w:gridCol w:w="1390"/>
        <w:gridCol w:w="1853"/>
        <w:gridCol w:w="1388"/>
        <w:gridCol w:w="112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tcBorders>
              <w:tl2br w:val="nil"/>
              <w:tr2bl w:val="nil"/>
            </w:tcBorders>
            <w:noWrap w:val="0"/>
            <w:vAlign w:val="center"/>
          </w:tcPr>
          <w:p>
            <w:pPr>
              <w:jc w:val="center"/>
              <w:rPr>
                <w:rFonts w:hint="eastAsia" w:ascii="宋体" w:hAnsi="宋体" w:eastAsia="宋体" w:cs="宋体"/>
                <w:color w:val="auto"/>
                <w:sz w:val="21"/>
                <w:szCs w:val="21"/>
              </w:rPr>
            </w:pPr>
            <w:bookmarkStart w:id="12" w:name="_Toc358970428"/>
            <w:bookmarkStart w:id="13" w:name="_Toc280364080"/>
            <w:bookmarkStart w:id="14" w:name="_Toc264551691"/>
            <w:bookmarkStart w:id="15" w:name="_Toc168466430"/>
            <w:bookmarkStart w:id="16" w:name="_Toc280363965"/>
            <w:bookmarkStart w:id="17" w:name="_Toc200935098"/>
            <w:bookmarkStart w:id="18" w:name="_Toc187046104"/>
            <w:bookmarkStart w:id="19" w:name="_Toc276848021"/>
            <w:bookmarkStart w:id="20" w:name="_Toc168466794"/>
            <w:bookmarkStart w:id="21" w:name="_Toc306357290"/>
            <w:bookmarkStart w:id="22" w:name="_Toc363494231"/>
            <w:bookmarkStart w:id="23" w:name="_Toc264653469"/>
            <w:bookmarkStart w:id="24" w:name="_Toc380154352"/>
            <w:bookmarkStart w:id="25" w:name="_Toc280363033"/>
            <w:bookmarkStart w:id="26" w:name="_Toc273284475"/>
            <w:r>
              <w:rPr>
                <w:rFonts w:hint="eastAsia" w:ascii="宋体" w:hAnsi="宋体" w:eastAsia="宋体" w:cs="宋体"/>
                <w:color w:val="auto"/>
                <w:sz w:val="21"/>
                <w:szCs w:val="21"/>
              </w:rPr>
              <w:t>时段</w:t>
            </w:r>
          </w:p>
        </w:tc>
        <w:tc>
          <w:tcPr>
            <w:tcW w:w="1616"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项目分区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预测形式</w:t>
            </w:r>
          </w:p>
        </w:tc>
        <w:tc>
          <w:tcPr>
            <w:tcW w:w="185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预测时段</w:t>
            </w:r>
          </w:p>
        </w:tc>
        <w:tc>
          <w:tcPr>
            <w:tcW w:w="1388"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预测面积</w:t>
            </w: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（h</w:t>
            </w:r>
            <w:r>
              <w:rPr>
                <w:rFonts w:hint="eastAsia" w:ascii="宋体" w:hAnsi="宋体" w:eastAsia="宋体" w:cs="宋体"/>
                <w:color w:val="auto"/>
                <w:sz w:val="21"/>
                <w:szCs w:val="21"/>
                <w:lang w:eastAsia="zh-CN"/>
              </w:rPr>
              <w:t>m²</w:t>
            </w:r>
            <w:r>
              <w:rPr>
                <w:rFonts w:hint="eastAsia" w:ascii="宋体" w:hAnsi="宋体" w:eastAsia="宋体" w:cs="宋体"/>
                <w:color w:val="auto"/>
                <w:sz w:val="21"/>
                <w:szCs w:val="21"/>
              </w:rPr>
              <w:t>）</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时间（a）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建设期</w:t>
            </w: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2018.7-2021.12</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3.24</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进场道路</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2021.4-2021.12</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0.01</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0.67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自然恢复期</w:t>
            </w:r>
          </w:p>
        </w:tc>
        <w:tc>
          <w:tcPr>
            <w:tcW w:w="1616" w:type="dxa"/>
            <w:tcBorders>
              <w:tl2br w:val="nil"/>
              <w:tr2bl w:val="nil"/>
            </w:tcBorders>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2021.12-2024.12</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0.41</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3.0</w:t>
            </w:r>
          </w:p>
        </w:tc>
      </w:t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tbl>
    <w:p>
      <w:pPr>
        <w:pStyle w:val="43"/>
        <w:ind w:firstLine="480"/>
        <w:rPr>
          <w:snapToGrid w:val="0"/>
          <w:kern w:val="0"/>
        </w:rPr>
      </w:pPr>
      <w:r>
        <w:rPr>
          <w:snapToGrid w:val="0"/>
          <w:kern w:val="0"/>
        </w:rPr>
        <w:t>根据各分区在施工期及自然恢复期水土流失量的预测可知，本工程建设可能造成的水土流失总量为</w:t>
      </w:r>
      <w:r>
        <w:rPr>
          <w:rFonts w:hint="eastAsia"/>
          <w:snapToGrid w:val="0"/>
          <w:kern w:val="0"/>
          <w:lang w:val="en-US" w:eastAsia="zh-CN"/>
        </w:rPr>
        <w:t>442.41</w:t>
      </w:r>
      <w:r>
        <w:rPr>
          <w:snapToGrid w:val="0"/>
          <w:kern w:val="0"/>
        </w:rPr>
        <w:t>t，新增水土流失量</w:t>
      </w:r>
      <w:r>
        <w:rPr>
          <w:rFonts w:hint="eastAsia"/>
          <w:snapToGrid w:val="0"/>
          <w:kern w:val="0"/>
          <w:lang w:val="en-US" w:eastAsia="zh-CN"/>
        </w:rPr>
        <w:t>126.41t</w:t>
      </w:r>
      <w:r>
        <w:rPr>
          <w:snapToGrid w:val="0"/>
          <w:kern w:val="0"/>
        </w:rPr>
        <w:t>。</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w:t>
      </w:r>
      <w:r>
        <w:rPr>
          <w:rFonts w:hint="eastAsia" w:eastAsia="仿宋_GB2312"/>
          <w:b/>
          <w:bCs/>
          <w:sz w:val="24"/>
          <w:lang w:val="en-US" w:eastAsia="zh-CN"/>
        </w:rPr>
        <w:t>3</w:t>
      </w:r>
      <w:r>
        <w:rPr>
          <w:rFonts w:hint="eastAsia" w:ascii="Times New Roman" w:hAnsi="Times New Roman" w:eastAsia="仿宋_GB2312"/>
          <w:b/>
          <w:bCs/>
          <w:sz w:val="24"/>
          <w:lang w:val="en-US" w:eastAsia="zh-CN"/>
        </w:rPr>
        <w:t xml:space="preserve"> </w:t>
      </w:r>
      <w:r>
        <w:rPr>
          <w:rFonts w:ascii="Times New Roman" w:hAnsi="Times New Roman" w:eastAsia="仿宋_GB2312"/>
          <w:b/>
          <w:bCs/>
          <w:sz w:val="24"/>
        </w:rPr>
        <w:t xml:space="preserve"> </w:t>
      </w:r>
      <w:r>
        <w:rPr>
          <w:rFonts w:hint="eastAsia" w:ascii="Times New Roman" w:hAnsi="Times New Roman" w:eastAsia="仿宋_GB2312"/>
          <w:b/>
          <w:bCs/>
          <w:sz w:val="24"/>
        </w:rPr>
        <w:t>建设期</w:t>
      </w:r>
      <w:r>
        <w:rPr>
          <w:rFonts w:hint="eastAsia" w:eastAsia="仿宋_GB2312"/>
          <w:b/>
          <w:bCs/>
          <w:sz w:val="24"/>
          <w:lang w:eastAsia="zh-CN"/>
        </w:rPr>
        <w:t>、</w:t>
      </w:r>
      <w:r>
        <w:rPr>
          <w:rFonts w:hint="eastAsia" w:ascii="Times New Roman" w:hAnsi="Times New Roman" w:eastAsia="仿宋_GB2312"/>
          <w:b/>
          <w:bCs/>
          <w:sz w:val="24"/>
        </w:rPr>
        <w:t>自然恢复期土壤流失量预测表</w:t>
      </w:r>
    </w:p>
    <w:tbl>
      <w:tblPr>
        <w:tblStyle w:val="24"/>
        <w:tblW w:w="882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63"/>
        <w:gridCol w:w="1044"/>
        <w:gridCol w:w="730"/>
        <w:gridCol w:w="958"/>
        <w:gridCol w:w="644"/>
        <w:gridCol w:w="750"/>
        <w:gridCol w:w="688"/>
        <w:gridCol w:w="668"/>
        <w:gridCol w:w="858"/>
        <w:gridCol w:w="930"/>
        <w:gridCol w:w="9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0" w:hRule="atLeast"/>
          <w:jc w:val="center"/>
        </w:trPr>
        <w:tc>
          <w:tcPr>
            <w:tcW w:w="563"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时段</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区域</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面积</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(hm²)</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土壤侵</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蚀模数</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(t/km²·a)</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扰动后土壤侵蚀模数(t/km²·a)</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时间</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(a)</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新增土</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壤流失</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量(t)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建</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设</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3.24</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3.5</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170.10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260.82 </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90.72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进场道路</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0.01</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0.67</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0.10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0.15 </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0" w:hRule="atLeast"/>
          <w:jc w:val="center"/>
        </w:trPr>
        <w:tc>
          <w:tcPr>
            <w:tcW w:w="563"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自</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然</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恢</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复</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0.41</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145.80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181.44</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35.64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8" w:hRule="atLeast"/>
          <w:jc w:val="center"/>
        </w:trPr>
        <w:tc>
          <w:tcPr>
            <w:tcW w:w="1607" w:type="dxa"/>
            <w:gridSpan w:val="2"/>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合 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316</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442.41</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126.41</w:t>
            </w:r>
          </w:p>
        </w:tc>
      </w:tr>
    </w:tbl>
    <w:p>
      <w:pPr>
        <w:pStyle w:val="37"/>
      </w:pPr>
      <w:r>
        <w:rPr>
          <w:rFonts w:hint="eastAsia"/>
        </w:rPr>
        <w:t>5防治责任范围</w:t>
      </w:r>
    </w:p>
    <w:p>
      <w:pPr>
        <w:pStyle w:val="40"/>
        <w:ind w:firstLine="480"/>
      </w:pPr>
      <w:r>
        <w:t>根据《生产建设项目水土</w:t>
      </w:r>
      <w:r>
        <w:rPr>
          <w:rFonts w:hint="eastAsia"/>
        </w:rPr>
        <w:t>保持技术标准</w:t>
      </w:r>
      <w:r>
        <w:t>》（GB5043</w:t>
      </w:r>
      <w:r>
        <w:rPr>
          <w:rFonts w:hint="eastAsia"/>
        </w:rPr>
        <w:t>3</w:t>
      </w:r>
      <w:r>
        <w:t>-2018），</w:t>
      </w:r>
      <w:r>
        <w:rPr>
          <w:rFonts w:hint="eastAsia"/>
          <w:lang w:eastAsia="zh-CN"/>
        </w:rPr>
        <w:t>曲沃县诺航新型建材有限公司</w:t>
      </w:r>
      <w:r>
        <w:rPr>
          <w:rFonts w:hint="eastAsia"/>
        </w:rPr>
        <w:t>工程</w:t>
      </w:r>
      <w:r>
        <w:rPr>
          <w:rFonts w:hint="eastAsia"/>
          <w:snapToGrid w:val="0"/>
        </w:rPr>
        <w:t>水土流失防治责任范围为</w:t>
      </w:r>
      <w:r>
        <w:rPr>
          <w:rFonts w:hint="eastAsia"/>
          <w:snapToGrid w:val="0"/>
          <w:lang w:val="en-US" w:eastAsia="zh-CN"/>
        </w:rPr>
        <w:t>3.28</w:t>
      </w:r>
      <w:r>
        <w:rPr>
          <w:rFonts w:hint="eastAsia"/>
          <w:snapToGrid w:val="0"/>
        </w:rPr>
        <w:t>hm</w:t>
      </w:r>
      <w:r>
        <w:rPr>
          <w:rFonts w:hint="eastAsia"/>
          <w:snapToGrid w:val="0"/>
          <w:vertAlign w:val="superscript"/>
        </w:rPr>
        <w:t>2</w:t>
      </w:r>
      <w:r>
        <w:rPr>
          <w:rFonts w:hint="eastAsia"/>
          <w:snapToGrid w:val="0"/>
        </w:rPr>
        <w:t>。</w:t>
      </w:r>
    </w:p>
    <w:p>
      <w:pPr>
        <w:pStyle w:val="37"/>
      </w:pPr>
      <w:bookmarkStart w:id="27" w:name="_Toc510511014"/>
      <w:bookmarkStart w:id="28" w:name="_Toc501443569"/>
      <w:bookmarkStart w:id="29" w:name="_Toc1117821"/>
      <w:r>
        <w:rPr>
          <w:rFonts w:hint="eastAsia"/>
        </w:rPr>
        <w:t>6 防治标准等级及目标</w:t>
      </w:r>
      <w:bookmarkEnd w:id="27"/>
      <w:bookmarkEnd w:id="28"/>
      <w:bookmarkEnd w:id="29"/>
    </w:p>
    <w:p>
      <w:pPr>
        <w:pStyle w:val="35"/>
        <w:rPr>
          <w:rFonts w:ascii="Times New Roman" w:hAnsi="Times New Roman"/>
        </w:rPr>
      </w:pPr>
      <w:r>
        <w:rPr>
          <w:rFonts w:hint="eastAsia"/>
          <w:b w:val="0"/>
          <w:bCs/>
        </w:rPr>
        <w:t>6.1</w:t>
      </w:r>
      <w:r>
        <w:rPr>
          <w:rFonts w:ascii="Times New Roman" w:hAnsi="Times New Roman"/>
        </w:rPr>
        <w:t xml:space="preserve"> 执行标准等级</w:t>
      </w:r>
    </w:p>
    <w:p>
      <w:pPr>
        <w:pStyle w:val="43"/>
        <w:ind w:firstLine="480"/>
      </w:pPr>
      <w:r>
        <w:t>本工程所在的</w:t>
      </w:r>
      <w:r>
        <w:rPr>
          <w:rFonts w:hint="eastAsia"/>
          <w:lang w:eastAsia="zh-CN"/>
        </w:rPr>
        <w:t>曲沃县</w:t>
      </w:r>
      <w:r>
        <w:t>属于省级水土流失</w:t>
      </w:r>
      <w:r>
        <w:rPr>
          <w:rFonts w:hint="eastAsia"/>
          <w:lang w:eastAsia="zh-CN"/>
        </w:rPr>
        <w:t>重点预防保护区</w:t>
      </w:r>
      <w:r>
        <w:t>，根据《生产建设项目水土流失防治标准》（GB/T50434-2018），确定水土流失防治执行生产建设项目一级标准。</w:t>
      </w:r>
    </w:p>
    <w:p>
      <w:pPr>
        <w:pStyle w:val="35"/>
        <w:rPr>
          <w:rFonts w:ascii="Times New Roman" w:hAnsi="Times New Roman"/>
        </w:rPr>
      </w:pPr>
      <w:r>
        <w:rPr>
          <w:rFonts w:hint="eastAsia" w:ascii="Times New Roman" w:hAnsi="Times New Roman"/>
        </w:rPr>
        <w:t>6</w:t>
      </w:r>
      <w:r>
        <w:rPr>
          <w:rFonts w:ascii="Times New Roman" w:hAnsi="Times New Roman"/>
        </w:rPr>
        <w:t>.2 防治目标</w:t>
      </w:r>
    </w:p>
    <w:p>
      <w:pPr>
        <w:pStyle w:val="43"/>
        <w:adjustRightInd/>
        <w:snapToGrid/>
        <w:ind w:firstLine="480"/>
        <w:rPr>
          <w:bCs/>
        </w:rPr>
      </w:pPr>
      <w:r>
        <w:rPr>
          <w:bCs/>
        </w:rPr>
        <w:t>a）项目建设范围内的新增水土流失应得到有效控制，原有水土流失得到治理；</w:t>
      </w:r>
    </w:p>
    <w:p>
      <w:pPr>
        <w:pStyle w:val="43"/>
        <w:adjustRightInd/>
        <w:snapToGrid/>
        <w:ind w:firstLine="480"/>
        <w:rPr>
          <w:bCs/>
        </w:rPr>
      </w:pPr>
      <w:r>
        <w:rPr>
          <w:bCs/>
        </w:rPr>
        <w:t>b）水土保持设施应安全有效；</w:t>
      </w:r>
    </w:p>
    <w:p>
      <w:pPr>
        <w:pStyle w:val="43"/>
        <w:adjustRightInd/>
        <w:snapToGrid/>
        <w:ind w:firstLine="480"/>
        <w:rPr>
          <w:bCs/>
        </w:rPr>
      </w:pPr>
      <w:r>
        <w:rPr>
          <w:bCs/>
        </w:rPr>
        <w:t>c）水土资源、林草植被应得到最大限度的保护与恢复；</w:t>
      </w:r>
    </w:p>
    <w:p>
      <w:pPr>
        <w:pStyle w:val="43"/>
        <w:adjustRightInd/>
        <w:snapToGrid/>
        <w:ind w:firstLine="480"/>
        <w:rPr>
          <w:bCs/>
        </w:rPr>
      </w:pPr>
      <w:r>
        <w:rPr>
          <w:bCs/>
        </w:rPr>
        <w:t>d）6项指标达到防治标准规定的要求</w:t>
      </w:r>
    </w:p>
    <w:p>
      <w:pPr>
        <w:pStyle w:val="43"/>
        <w:adjustRightInd/>
        <w:snapToGrid/>
        <w:ind w:firstLine="480"/>
        <w:rPr>
          <w:bCs/>
        </w:rPr>
      </w:pPr>
      <w:r>
        <w:rPr>
          <w:bCs/>
        </w:rPr>
        <w:t>1）水土流失总治理度</w:t>
      </w:r>
    </w:p>
    <w:p>
      <w:pPr>
        <w:pStyle w:val="43"/>
        <w:adjustRightInd/>
        <w:snapToGrid/>
        <w:ind w:firstLine="480"/>
        <w:rPr>
          <w:bCs/>
        </w:rPr>
      </w:pPr>
      <w:r>
        <w:rPr>
          <w:bCs/>
        </w:rPr>
        <w:t>项目水土流失防治责任范围内水土流失治理达标面积占水土流失总面积的93%以上。</w:t>
      </w:r>
    </w:p>
    <w:p>
      <w:pPr>
        <w:pStyle w:val="43"/>
        <w:adjustRightInd/>
        <w:snapToGrid/>
        <w:ind w:firstLine="480"/>
        <w:rPr>
          <w:bCs/>
        </w:rPr>
      </w:pPr>
      <w:r>
        <w:rPr>
          <w:bCs/>
        </w:rPr>
        <w:t>2）土壤流失控制比</w:t>
      </w:r>
    </w:p>
    <w:p>
      <w:pPr>
        <w:pStyle w:val="43"/>
        <w:adjustRightInd/>
        <w:snapToGrid/>
        <w:ind w:firstLine="480"/>
        <w:rPr>
          <w:bCs/>
        </w:rPr>
      </w:pPr>
      <w:r>
        <w:rPr>
          <w:bCs/>
        </w:rPr>
        <w:t>项目水土流失防治责任范围内容许土壤流失量与治理后每平方公里年平均土壤流失量之比为1.0。</w:t>
      </w:r>
    </w:p>
    <w:p>
      <w:pPr>
        <w:pStyle w:val="43"/>
        <w:adjustRightInd/>
        <w:snapToGrid/>
        <w:ind w:firstLine="480"/>
        <w:rPr>
          <w:bCs/>
        </w:rPr>
      </w:pPr>
      <w:r>
        <w:rPr>
          <w:bCs/>
        </w:rPr>
        <w:t>3）渣土防护率</w:t>
      </w:r>
    </w:p>
    <w:p>
      <w:pPr>
        <w:pStyle w:val="43"/>
        <w:adjustRightInd/>
        <w:snapToGrid/>
        <w:ind w:firstLine="480"/>
        <w:rPr>
          <w:bCs/>
        </w:rPr>
      </w:pPr>
      <w:r>
        <w:rPr>
          <w:bCs/>
        </w:rPr>
        <w:t>项目水土流失防治责任范围内采取措施实际挡护的永久弃渣、临时堆土数量占永久弃渣和临时堆土总量的92%以上。</w:t>
      </w:r>
    </w:p>
    <w:p>
      <w:pPr>
        <w:pStyle w:val="43"/>
        <w:adjustRightInd/>
        <w:snapToGrid/>
        <w:ind w:firstLine="480"/>
        <w:rPr>
          <w:bCs/>
        </w:rPr>
      </w:pPr>
      <w:r>
        <w:rPr>
          <w:bCs/>
        </w:rPr>
        <w:t>4）表土保护率</w:t>
      </w:r>
    </w:p>
    <w:p>
      <w:pPr>
        <w:pStyle w:val="43"/>
        <w:adjustRightInd/>
        <w:snapToGrid/>
        <w:ind w:firstLine="480"/>
        <w:rPr>
          <w:bCs/>
        </w:rPr>
      </w:pPr>
      <w:r>
        <w:rPr>
          <w:bCs/>
        </w:rPr>
        <w:t>项目水土流失防治责任范围内保护的表土数量占可剥离表土总量比例，</w:t>
      </w:r>
      <w:r>
        <w:rPr>
          <w:rFonts w:hint="eastAsia"/>
          <w:bCs/>
        </w:rPr>
        <w:t>达到90%以上</w:t>
      </w:r>
      <w:r>
        <w:rPr>
          <w:bCs/>
        </w:rPr>
        <w:t>。</w:t>
      </w:r>
    </w:p>
    <w:p>
      <w:pPr>
        <w:pStyle w:val="43"/>
        <w:adjustRightInd/>
        <w:snapToGrid/>
        <w:ind w:firstLine="480"/>
        <w:rPr>
          <w:bCs/>
        </w:rPr>
      </w:pPr>
      <w:r>
        <w:rPr>
          <w:bCs/>
        </w:rPr>
        <w:t>5）林草植被恢复率</w:t>
      </w:r>
    </w:p>
    <w:p>
      <w:pPr>
        <w:pStyle w:val="43"/>
        <w:adjustRightInd/>
        <w:snapToGrid/>
        <w:ind w:firstLine="480"/>
        <w:rPr>
          <w:bCs/>
        </w:rPr>
      </w:pPr>
      <w:r>
        <w:rPr>
          <w:bCs/>
        </w:rPr>
        <w:t>项目水土流失防治责任范围内林草类植被面积占可恢复林草植被面积的95%以上。</w:t>
      </w:r>
    </w:p>
    <w:p>
      <w:pPr>
        <w:pStyle w:val="43"/>
        <w:adjustRightInd/>
        <w:snapToGrid/>
        <w:ind w:firstLine="480"/>
        <w:rPr>
          <w:bCs/>
        </w:rPr>
      </w:pPr>
      <w:r>
        <w:rPr>
          <w:bCs/>
        </w:rPr>
        <w:t>6）林草覆盖率</w:t>
      </w:r>
    </w:p>
    <w:p>
      <w:pPr>
        <w:pStyle w:val="43"/>
        <w:adjustRightInd/>
        <w:snapToGrid/>
        <w:ind w:firstLine="480"/>
        <w:rPr>
          <w:bCs/>
        </w:rPr>
      </w:pPr>
      <w:r>
        <w:rPr>
          <w:bCs/>
        </w:rPr>
        <w:t>项目水土流失防治责任范围内林草类植被面积占总面积的</w:t>
      </w:r>
      <w:r>
        <w:rPr>
          <w:rFonts w:hint="eastAsia"/>
          <w:bCs/>
          <w:lang w:val="en-US" w:eastAsia="zh-CN"/>
        </w:rPr>
        <w:t>11</w:t>
      </w:r>
      <w:r>
        <w:rPr>
          <w:bCs/>
        </w:rPr>
        <w:t>%以上。</w:t>
      </w:r>
    </w:p>
    <w:p>
      <w:pPr>
        <w:pStyle w:val="43"/>
        <w:adjustRightInd/>
        <w:snapToGrid/>
        <w:ind w:firstLine="480"/>
        <w:rPr>
          <w:snapToGrid w:val="0"/>
          <w:lang w:val="zh-CN"/>
        </w:rPr>
      </w:pPr>
      <w:r>
        <w:rPr>
          <w:snapToGrid w:val="0"/>
          <w:lang w:val="zh-CN"/>
        </w:rPr>
        <w:t>防治目标详见表</w:t>
      </w:r>
      <w:r>
        <w:rPr>
          <w:rFonts w:hint="eastAsia"/>
          <w:snapToGrid w:val="0"/>
          <w:lang w:val="zh-CN"/>
        </w:rPr>
        <w:t>6</w:t>
      </w:r>
      <w:r>
        <w:rPr>
          <w:snapToGrid w:val="0"/>
          <w:lang w:val="zh-CN"/>
        </w:rPr>
        <w:t>-1。</w:t>
      </w:r>
    </w:p>
    <w:p>
      <w:pPr>
        <w:pStyle w:val="43"/>
        <w:adjustRightInd/>
        <w:snapToGrid/>
        <w:ind w:firstLine="480"/>
        <w:rPr>
          <w:snapToGrid w:val="0"/>
          <w:lang w:val="zh-CN"/>
        </w:rPr>
      </w:pPr>
    </w:p>
    <w:p>
      <w:pPr>
        <w:pStyle w:val="48"/>
        <w:rPr>
          <w:snapToGrid w:val="0"/>
          <w:lang w:val="zh-CN"/>
        </w:rPr>
      </w:pPr>
      <w:r>
        <w:rPr>
          <w:snapToGrid w:val="0"/>
          <w:lang w:val="zh-CN"/>
        </w:rPr>
        <w:t>表</w:t>
      </w:r>
      <w:r>
        <w:rPr>
          <w:rFonts w:hint="eastAsia"/>
          <w:snapToGrid w:val="0"/>
          <w:lang w:val="zh-CN"/>
        </w:rPr>
        <w:t>6</w:t>
      </w:r>
      <w:r>
        <w:rPr>
          <w:snapToGrid w:val="0"/>
        </w:rPr>
        <w:t>-1</w:t>
      </w:r>
      <w:r>
        <w:rPr>
          <w:snapToGrid w:val="0"/>
        </w:rPr>
        <w:tab/>
      </w:r>
      <w:r>
        <w:rPr>
          <w:snapToGrid w:val="0"/>
          <w:lang w:val="zh-CN"/>
        </w:rPr>
        <w:t>水土流失防治目标表</w:t>
      </w:r>
    </w:p>
    <w:tbl>
      <w:tblPr>
        <w:tblStyle w:val="24"/>
        <w:tblW w:w="9116" w:type="dxa"/>
        <w:tblInd w:w="0" w:type="dxa"/>
        <w:tblLayout w:type="fixed"/>
        <w:tblCellMar>
          <w:top w:w="0" w:type="dxa"/>
          <w:left w:w="108" w:type="dxa"/>
          <w:bottom w:w="0" w:type="dxa"/>
          <w:right w:w="108" w:type="dxa"/>
        </w:tblCellMar>
      </w:tblPr>
      <w:tblGrid>
        <w:gridCol w:w="699"/>
        <w:gridCol w:w="2613"/>
        <w:gridCol w:w="1094"/>
        <w:gridCol w:w="1599"/>
        <w:gridCol w:w="2016"/>
        <w:gridCol w:w="1095"/>
      </w:tblGrid>
      <w:tr>
        <w:tblPrEx>
          <w:tblCellMar>
            <w:top w:w="0" w:type="dxa"/>
            <w:left w:w="108" w:type="dxa"/>
            <w:bottom w:w="0" w:type="dxa"/>
            <w:right w:w="108" w:type="dxa"/>
          </w:tblCellMar>
        </w:tblPrEx>
        <w:trPr>
          <w:trHeight w:val="402" w:hRule="atLeast"/>
        </w:trPr>
        <w:tc>
          <w:tcPr>
            <w:tcW w:w="69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序号</w:t>
            </w:r>
          </w:p>
        </w:tc>
        <w:tc>
          <w:tcPr>
            <w:tcW w:w="26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评估项目</w:t>
            </w:r>
          </w:p>
        </w:tc>
        <w:tc>
          <w:tcPr>
            <w:tcW w:w="109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标准值</w:t>
            </w:r>
          </w:p>
        </w:tc>
        <w:tc>
          <w:tcPr>
            <w:tcW w:w="1599" w:type="dxa"/>
            <w:tcBorders>
              <w:top w:val="single" w:color="auto" w:sz="4" w:space="0"/>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水土流失程度</w:t>
            </w:r>
          </w:p>
        </w:tc>
        <w:tc>
          <w:tcPr>
            <w:tcW w:w="201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sz w:val="20"/>
                <w:szCs w:val="20"/>
              </w:rPr>
            </w:pPr>
            <w:r>
              <w:rPr>
                <w:kern w:val="0"/>
                <w:sz w:val="20"/>
                <w:szCs w:val="20"/>
              </w:rPr>
              <w:t>行业规定及现场实际</w:t>
            </w:r>
          </w:p>
        </w:tc>
        <w:tc>
          <w:tcPr>
            <w:tcW w:w="109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目标值</w:t>
            </w:r>
          </w:p>
        </w:tc>
      </w:tr>
      <w:tr>
        <w:tblPrEx>
          <w:tblCellMar>
            <w:top w:w="0" w:type="dxa"/>
            <w:left w:w="108" w:type="dxa"/>
            <w:bottom w:w="0" w:type="dxa"/>
            <w:right w:w="108" w:type="dxa"/>
          </w:tblCellMar>
        </w:tblPrEx>
        <w:trPr>
          <w:trHeight w:val="402" w:hRule="atLeast"/>
        </w:trPr>
        <w:tc>
          <w:tcPr>
            <w:tcW w:w="699"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2613"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094"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轻度</w:t>
            </w:r>
          </w:p>
        </w:tc>
        <w:tc>
          <w:tcPr>
            <w:tcW w:w="2016"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sz w:val="20"/>
                <w:szCs w:val="20"/>
              </w:rPr>
            </w:pPr>
          </w:p>
        </w:tc>
        <w:tc>
          <w:tcPr>
            <w:tcW w:w="1095"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1</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水土流失治理度（％）</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2</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土壤流失控制比</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0.8</w:t>
            </w:r>
          </w:p>
        </w:tc>
        <w:tc>
          <w:tcPr>
            <w:tcW w:w="1599" w:type="dxa"/>
            <w:tcBorders>
              <w:top w:val="nil"/>
              <w:left w:val="nil"/>
              <w:bottom w:val="single" w:color="auto" w:sz="4" w:space="0"/>
              <w:right w:val="single" w:color="auto" w:sz="4" w:space="0"/>
            </w:tcBorders>
            <w:shd w:val="clear" w:color="auto" w:fill="auto"/>
            <w:noWrap/>
            <w:vAlign w:val="center"/>
          </w:tcPr>
          <w:p>
            <w:pPr>
              <w:pStyle w:val="50"/>
              <w:rPr>
                <w:rFonts w:hint="eastAsia" w:eastAsia="宋体"/>
                <w:kern w:val="0"/>
                <w:sz w:val="20"/>
                <w:szCs w:val="20"/>
                <w:lang w:eastAsia="zh-CN"/>
              </w:rPr>
            </w:pPr>
            <w:r>
              <w:rPr>
                <w:kern w:val="0"/>
                <w:sz w:val="20"/>
                <w:szCs w:val="20"/>
              </w:rPr>
              <w:t>+0.</w:t>
            </w:r>
            <w:r>
              <w:rPr>
                <w:rFonts w:hint="eastAsia"/>
                <w:kern w:val="0"/>
                <w:sz w:val="20"/>
                <w:szCs w:val="20"/>
                <w:lang w:val="en-US" w:eastAsia="zh-CN"/>
              </w:rPr>
              <w:t>2</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1</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3</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渣土防护率（％）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4</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表土保护率（％）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90</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rFonts w:hint="eastAsia"/>
                <w:kern w:val="0"/>
              </w:rPr>
              <w:t>90</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5</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林草植被恢复率（％）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6</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林草覆盖率（%）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22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rFonts w:hint="default" w:eastAsia="宋体"/>
                <w:kern w:val="0"/>
                <w:sz w:val="20"/>
                <w:szCs w:val="20"/>
                <w:lang w:val="en-US" w:eastAsia="zh-CN"/>
              </w:rPr>
            </w:pPr>
            <w:r>
              <w:rPr>
                <w:rFonts w:hint="eastAsia"/>
                <w:kern w:val="0"/>
                <w:sz w:val="20"/>
                <w:szCs w:val="20"/>
                <w:lang w:val="en-US" w:eastAsia="zh-CN"/>
              </w:rPr>
              <w:t>-11</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11</w:t>
            </w:r>
          </w:p>
        </w:tc>
      </w:tr>
    </w:tbl>
    <w:p>
      <w:pPr>
        <w:pStyle w:val="50"/>
        <w:jc w:val="left"/>
      </w:pPr>
      <w:r>
        <w:t>说明：根据水土流失程度，对水土流失控制比调整，增加0.2；</w:t>
      </w:r>
      <w:r>
        <w:rPr>
          <w:rFonts w:hint="eastAsia"/>
          <w:lang w:eastAsia="zh-CN"/>
        </w:rPr>
        <w:t>项目受场地功能限制绿化措施</w:t>
      </w:r>
      <w:r>
        <w:rPr>
          <w:rFonts w:hint="eastAsia"/>
        </w:rPr>
        <w:t>林草覆盖率</w:t>
      </w:r>
      <w:r>
        <w:rPr>
          <w:rFonts w:hint="eastAsia"/>
          <w:lang w:eastAsia="zh-CN"/>
        </w:rPr>
        <w:t>减少</w:t>
      </w:r>
      <w:r>
        <w:rPr>
          <w:rFonts w:hint="eastAsia"/>
          <w:lang w:val="en-US" w:eastAsia="zh-CN"/>
        </w:rPr>
        <w:t>11</w:t>
      </w:r>
      <w:r>
        <w:rPr>
          <w:rFonts w:hint="eastAsia"/>
        </w:rPr>
        <w:t>%。</w:t>
      </w:r>
    </w:p>
    <w:p>
      <w:pPr>
        <w:pStyle w:val="37"/>
      </w:pPr>
      <w:bookmarkStart w:id="30" w:name="_Toc1117825"/>
      <w:bookmarkStart w:id="31" w:name="_Toc501443573"/>
      <w:bookmarkStart w:id="32" w:name="_Toc510511018"/>
      <w:r>
        <w:rPr>
          <w:rFonts w:hint="eastAsia"/>
        </w:rPr>
        <w:t>7</w:t>
      </w:r>
      <w:r>
        <w:t xml:space="preserve"> 水土</w:t>
      </w:r>
      <w:bookmarkEnd w:id="30"/>
      <w:bookmarkEnd w:id="31"/>
      <w:bookmarkEnd w:id="32"/>
      <w:r>
        <w:rPr>
          <w:rFonts w:hint="eastAsia"/>
        </w:rPr>
        <w:t>保持</w:t>
      </w:r>
      <w:r>
        <w:t>措施</w:t>
      </w:r>
    </w:p>
    <w:p>
      <w:pPr>
        <w:pStyle w:val="43"/>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snapToGrid w:val="0"/>
          <w:kern w:val="0"/>
          <w:lang w:val="en-US" w:eastAsia="zh-CN"/>
        </w:rPr>
      </w:pPr>
      <w:r>
        <w:rPr>
          <w:rFonts w:hint="eastAsia"/>
          <w:snapToGrid w:val="0"/>
          <w:kern w:val="0"/>
          <w:lang w:val="en-US" w:eastAsia="zh-CN"/>
        </w:rPr>
        <w:drawing>
          <wp:inline distT="0" distB="0" distL="114300" distR="114300">
            <wp:extent cx="5645150" cy="4784090"/>
            <wp:effectExtent l="0" t="0" r="0" b="0"/>
            <wp:docPr id="3" name="图片 3" descr="水土保持防治措施体系图(洗煤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水土保持防治措施体系图(洗煤厂)(2)"/>
                    <pic:cNvPicPr>
                      <a:picLocks noChangeAspect="1"/>
                    </pic:cNvPicPr>
                  </pic:nvPicPr>
                  <pic:blipFill>
                    <a:blip r:embed="rId12"/>
                    <a:stretch>
                      <a:fillRect/>
                    </a:stretch>
                  </pic:blipFill>
                  <pic:spPr>
                    <a:xfrm>
                      <a:off x="0" y="0"/>
                      <a:ext cx="5645150" cy="4784090"/>
                    </a:xfrm>
                    <a:prstGeom prst="rect">
                      <a:avLst/>
                    </a:prstGeom>
                  </pic:spPr>
                </pic:pic>
              </a:graphicData>
            </a:graphic>
          </wp:inline>
        </w:drawing>
      </w:r>
    </w:p>
    <w:p>
      <w:pPr>
        <w:pStyle w:val="43"/>
        <w:keepNext w:val="0"/>
        <w:keepLines w:val="0"/>
        <w:pageBreakBefore w:val="0"/>
        <w:widowControl w:val="0"/>
        <w:kinsoku/>
        <w:wordWrap/>
        <w:overflowPunct/>
        <w:topLinePunct w:val="0"/>
        <w:autoSpaceDE/>
        <w:autoSpaceDN/>
        <w:bidi w:val="0"/>
        <w:adjustRightInd w:val="0"/>
        <w:snapToGrid w:val="0"/>
        <w:spacing w:line="240" w:lineRule="auto"/>
        <w:ind w:firstLine="480"/>
        <w:jc w:val="center"/>
        <w:textAlignment w:val="auto"/>
        <w:rPr>
          <w:rFonts w:hint="eastAsia"/>
          <w:b/>
          <w:bCs/>
          <w:snapToGrid w:val="0"/>
          <w:kern w:val="0"/>
          <w:lang w:val="en-US" w:eastAsia="zh-CN"/>
        </w:rPr>
      </w:pPr>
      <w:r>
        <w:rPr>
          <w:rFonts w:hint="eastAsia"/>
          <w:b/>
          <w:bCs/>
          <w:snapToGrid w:val="0"/>
          <w:kern w:val="0"/>
          <w:lang w:val="en-US" w:eastAsia="zh-CN"/>
        </w:rPr>
        <w:t>图7-1措施总体布局</w:t>
      </w:r>
    </w:p>
    <w:p>
      <w:pPr>
        <w:pStyle w:val="43"/>
        <w:ind w:firstLine="480"/>
        <w:rPr>
          <w:rFonts w:hint="eastAsia"/>
          <w:snapToGrid w:val="0"/>
          <w:kern w:val="0"/>
          <w:lang w:val="en-US" w:eastAsia="zh-CN"/>
        </w:rPr>
      </w:pPr>
    </w:p>
    <w:p>
      <w:pPr>
        <w:pStyle w:val="43"/>
        <w:ind w:firstLine="480"/>
        <w:rPr>
          <w:rFonts w:hint="eastAsia" w:eastAsia="宋体"/>
          <w:snapToGrid w:val="0"/>
          <w:kern w:val="0"/>
          <w:lang w:eastAsia="zh-CN"/>
        </w:rPr>
      </w:pPr>
      <w:r>
        <w:rPr>
          <w:rFonts w:hint="eastAsia"/>
          <w:snapToGrid w:val="0"/>
          <w:kern w:val="0"/>
          <w:lang w:val="en-US" w:eastAsia="zh-CN"/>
        </w:rPr>
        <w:t>1、</w:t>
      </w:r>
      <w:r>
        <w:rPr>
          <w:rFonts w:hint="eastAsia"/>
          <w:snapToGrid w:val="0"/>
          <w:kern w:val="0"/>
          <w:lang w:eastAsia="zh-CN"/>
        </w:rPr>
        <w:t>工业场地防治区</w:t>
      </w:r>
    </w:p>
    <w:p>
      <w:pPr>
        <w:pStyle w:val="43"/>
        <w:ind w:firstLine="480"/>
        <w:rPr>
          <w:rFonts w:hint="eastAsia"/>
          <w:snapToGrid w:val="0"/>
          <w:kern w:val="0"/>
        </w:rPr>
      </w:pPr>
      <w:r>
        <w:rPr>
          <w:rFonts w:hint="eastAsia"/>
          <w:snapToGrid w:val="0"/>
          <w:kern w:val="0"/>
        </w:rPr>
        <w:t>（一）工程措施</w:t>
      </w:r>
    </w:p>
    <w:p>
      <w:pPr>
        <w:pStyle w:val="43"/>
        <w:ind w:firstLine="480"/>
        <w:rPr>
          <w:rFonts w:hint="eastAsia" w:eastAsia="宋体"/>
          <w:snapToGrid w:val="0"/>
          <w:kern w:val="0"/>
          <w:lang w:eastAsia="zh-CN"/>
        </w:rPr>
      </w:pPr>
      <w:r>
        <w:rPr>
          <w:rFonts w:hint="eastAsia"/>
          <w:snapToGrid w:val="0"/>
          <w:kern w:val="0"/>
          <w:lang w:eastAsia="zh-CN"/>
        </w:rPr>
        <w:t>方案新增</w:t>
      </w:r>
    </w:p>
    <w:p>
      <w:pPr>
        <w:pStyle w:val="43"/>
        <w:ind w:firstLine="480"/>
        <w:rPr>
          <w:rFonts w:hint="eastAsia"/>
          <w:snapToGrid w:val="0"/>
          <w:kern w:val="0"/>
          <w:lang w:val="en-US" w:eastAsia="zh-CN"/>
        </w:rPr>
      </w:pPr>
      <w:r>
        <w:rPr>
          <w:rFonts w:hint="eastAsia" w:eastAsia="宋体"/>
          <w:snapToGrid w:val="0"/>
          <w:kern w:val="0"/>
          <w:lang w:eastAsia="zh-CN"/>
        </w:rPr>
        <w:t>工程措施——</w:t>
      </w:r>
      <w:r>
        <w:rPr>
          <w:rFonts w:hint="eastAsia"/>
          <w:snapToGrid w:val="0"/>
          <w:kern w:val="0"/>
          <w:lang w:eastAsia="zh-CN"/>
        </w:rPr>
        <w:t>在</w:t>
      </w:r>
      <w:r>
        <w:rPr>
          <w:rFonts w:hint="eastAsia"/>
          <w:snapToGrid w:val="0"/>
          <w:kern w:val="0"/>
          <w:lang w:val="en-US" w:eastAsia="zh-CN"/>
        </w:rPr>
        <w:t>场内西侧及南侧围墙处布置</w:t>
      </w:r>
      <w:r>
        <w:rPr>
          <w:rFonts w:hint="eastAsia"/>
          <w:snapToGrid w:val="0"/>
          <w:kern w:val="0"/>
          <w:lang w:eastAsia="zh-CN"/>
        </w:rPr>
        <w:t>浆砌石（M</w:t>
      </w:r>
      <w:r>
        <w:rPr>
          <w:rFonts w:hint="eastAsia"/>
          <w:snapToGrid w:val="0"/>
          <w:kern w:val="0"/>
          <w:lang w:val="en-US" w:eastAsia="zh-CN"/>
        </w:rPr>
        <w:t>10</w:t>
      </w:r>
      <w:r>
        <w:rPr>
          <w:rFonts w:hint="eastAsia"/>
          <w:snapToGrid w:val="0"/>
          <w:kern w:val="0"/>
          <w:lang w:eastAsia="zh-CN"/>
        </w:rPr>
        <w:t>）</w:t>
      </w:r>
      <w:r>
        <w:rPr>
          <w:rFonts w:hint="eastAsia"/>
          <w:snapToGrid w:val="0"/>
          <w:kern w:val="0"/>
          <w:lang w:val="en-US" w:eastAsia="zh-CN"/>
        </w:rPr>
        <w:t>排水沟380m并顺接至场地雨水收集池内</w:t>
      </w:r>
      <w:r>
        <w:rPr>
          <w:rFonts w:hint="eastAsia"/>
          <w:snapToGrid w:val="0"/>
          <w:kern w:val="0"/>
          <w:lang w:eastAsia="zh-CN"/>
        </w:rPr>
        <w:t>，排水沟采用浆砌石矩形断面形式，底宽 0.4m，深 0.4m，壁厚 0.3m，共布设排水沟</w:t>
      </w:r>
      <w:r>
        <w:rPr>
          <w:rFonts w:hint="eastAsia"/>
          <w:snapToGrid w:val="0"/>
          <w:kern w:val="0"/>
          <w:lang w:val="en-US" w:eastAsia="zh-CN"/>
        </w:rPr>
        <w:t>380</w:t>
      </w:r>
      <w:r>
        <w:rPr>
          <w:rFonts w:hint="eastAsia"/>
          <w:snapToGrid w:val="0"/>
          <w:kern w:val="0"/>
          <w:lang w:eastAsia="zh-CN"/>
        </w:rPr>
        <w:t>m，土方开挖357.48 m</w:t>
      </w:r>
      <w:r>
        <w:rPr>
          <w:rFonts w:hint="eastAsia"/>
          <w:snapToGrid w:val="0"/>
          <w:kern w:val="0"/>
          <w:vertAlign w:val="superscript"/>
          <w:lang w:eastAsia="zh-CN"/>
        </w:rPr>
        <w:t>3</w:t>
      </w:r>
      <w:r>
        <w:rPr>
          <w:rFonts w:hint="eastAsia"/>
          <w:snapToGrid w:val="0"/>
          <w:kern w:val="0"/>
          <w:lang w:eastAsia="zh-CN"/>
        </w:rPr>
        <w:t>，土方回填93.07 m</w:t>
      </w:r>
      <w:r>
        <w:rPr>
          <w:rFonts w:hint="eastAsia"/>
          <w:snapToGrid w:val="0"/>
          <w:kern w:val="0"/>
          <w:vertAlign w:val="superscript"/>
          <w:lang w:eastAsia="zh-CN"/>
        </w:rPr>
        <w:t>3</w:t>
      </w:r>
      <w:r>
        <w:rPr>
          <w:rFonts w:hint="eastAsia"/>
          <w:snapToGrid w:val="0"/>
          <w:kern w:val="0"/>
          <w:lang w:eastAsia="zh-CN"/>
        </w:rPr>
        <w:t>，浆砌石231.37 m</w:t>
      </w:r>
      <w:r>
        <w:rPr>
          <w:rFonts w:hint="eastAsia"/>
          <w:snapToGrid w:val="0"/>
          <w:kern w:val="0"/>
          <w:vertAlign w:val="superscript"/>
          <w:lang w:eastAsia="zh-CN"/>
        </w:rPr>
        <w:t>3</w:t>
      </w:r>
      <w:r>
        <w:rPr>
          <w:rFonts w:hint="eastAsia"/>
          <w:snapToGrid w:val="0"/>
          <w:kern w:val="0"/>
          <w:lang w:eastAsia="zh-CN"/>
        </w:rPr>
        <w:t>。</w:t>
      </w:r>
    </w:p>
    <w:p>
      <w:pPr>
        <w:pStyle w:val="43"/>
        <w:ind w:firstLine="480"/>
        <w:rPr>
          <w:rFonts w:hint="default"/>
          <w:snapToGrid w:val="0"/>
          <w:kern w:val="0"/>
          <w:lang w:val="en-US" w:eastAsia="zh-CN"/>
        </w:rPr>
      </w:pPr>
      <w:r>
        <w:rPr>
          <w:rFonts w:hint="eastAsia"/>
          <w:snapToGrid w:val="0"/>
          <w:kern w:val="0"/>
          <w:lang w:eastAsia="zh-CN"/>
        </w:rPr>
        <w:t>工程措施——</w:t>
      </w:r>
      <w:r>
        <w:rPr>
          <w:rFonts w:hint="eastAsia"/>
          <w:snapToGrid w:val="0"/>
          <w:kern w:val="0"/>
          <w:lang w:val="en-US" w:eastAsia="zh-CN"/>
        </w:rPr>
        <w:t>对场地内的表土进行剥离并对放于设计绿化区域，用于后期绿化覆土，剥离厚度30cm，表土剥离面积0.35hm</w:t>
      </w:r>
      <w:r>
        <w:rPr>
          <w:rFonts w:hint="eastAsia"/>
          <w:snapToGrid w:val="0"/>
          <w:kern w:val="0"/>
          <w:vertAlign w:val="superscript"/>
          <w:lang w:val="en-US" w:eastAsia="zh-CN"/>
        </w:rPr>
        <w:t>2</w:t>
      </w:r>
      <w:r>
        <w:rPr>
          <w:rFonts w:hint="eastAsia"/>
          <w:snapToGrid w:val="0"/>
          <w:kern w:val="0"/>
          <w:lang w:val="en-US" w:eastAsia="zh-CN"/>
        </w:rPr>
        <w:t>，共需剥离表土0.11万方。</w:t>
      </w:r>
    </w:p>
    <w:p>
      <w:pPr>
        <w:pStyle w:val="43"/>
        <w:ind w:firstLine="480"/>
        <w:rPr>
          <w:rFonts w:hint="eastAsia"/>
          <w:snapToGrid w:val="0"/>
          <w:kern w:val="0"/>
        </w:rPr>
      </w:pPr>
      <w:r>
        <w:rPr>
          <w:rFonts w:hint="eastAsia"/>
          <w:snapToGrid w:val="0"/>
          <w:kern w:val="0"/>
        </w:rPr>
        <w:t>（二）植物措施</w:t>
      </w:r>
    </w:p>
    <w:p>
      <w:pPr>
        <w:pStyle w:val="43"/>
        <w:ind w:firstLine="480"/>
        <w:rPr>
          <w:rFonts w:hint="eastAsia" w:eastAsia="宋体"/>
          <w:snapToGrid w:val="0"/>
          <w:kern w:val="0"/>
          <w:lang w:eastAsia="zh-CN"/>
        </w:rPr>
      </w:pPr>
      <w:r>
        <w:rPr>
          <w:rFonts w:hint="eastAsia"/>
          <w:snapToGrid w:val="0"/>
          <w:kern w:val="0"/>
          <w:lang w:eastAsia="zh-CN"/>
        </w:rPr>
        <w:t>方案新增</w:t>
      </w:r>
    </w:p>
    <w:p>
      <w:pPr>
        <w:pStyle w:val="43"/>
        <w:ind w:firstLine="480"/>
        <w:rPr>
          <w:rFonts w:hint="eastAsia" w:eastAsia="宋体"/>
          <w:snapToGrid w:val="0"/>
          <w:kern w:val="0"/>
          <w:lang w:eastAsia="zh-CN"/>
        </w:rPr>
      </w:pPr>
      <w:r>
        <w:rPr>
          <w:rFonts w:hint="eastAsia" w:eastAsia="宋体"/>
          <w:snapToGrid w:val="0"/>
          <w:kern w:val="0"/>
          <w:lang w:eastAsia="zh-CN"/>
        </w:rPr>
        <w:t>植物措施——在围墙周边及</w:t>
      </w:r>
      <w:r>
        <w:rPr>
          <w:rFonts w:hint="eastAsia"/>
          <w:snapToGrid w:val="0"/>
          <w:kern w:val="0"/>
          <w:lang w:eastAsia="zh-CN"/>
        </w:rPr>
        <w:t>场内空地</w:t>
      </w:r>
      <w:r>
        <w:rPr>
          <w:rFonts w:hint="eastAsia" w:eastAsia="宋体"/>
          <w:snapToGrid w:val="0"/>
          <w:kern w:val="0"/>
          <w:lang w:eastAsia="zh-CN"/>
        </w:rPr>
        <w:t>布设绿化措施，</w:t>
      </w:r>
      <w:r>
        <w:rPr>
          <w:rFonts w:hint="eastAsia" w:eastAsia="宋体" w:cs="Times New Roman"/>
          <w:snapToGrid w:val="0"/>
          <w:kern w:val="0"/>
          <w:szCs w:val="24"/>
          <w:lang w:val="en-US" w:eastAsia="zh-CN"/>
        </w:rPr>
        <w:t>绿化面积0</w:t>
      </w:r>
      <w:r>
        <w:rPr>
          <w:rFonts w:hint="eastAsia" w:cs="Times New Roman"/>
          <w:snapToGrid w:val="0"/>
          <w:kern w:val="0"/>
          <w:szCs w:val="24"/>
          <w:lang w:val="en-US" w:eastAsia="zh-CN"/>
        </w:rPr>
        <w:t>.41</w:t>
      </w:r>
      <w:r>
        <w:rPr>
          <w:rFonts w:hint="eastAsia" w:eastAsia="宋体" w:cs="Times New Roman"/>
          <w:snapToGrid w:val="0"/>
          <w:kern w:val="0"/>
          <w:szCs w:val="24"/>
          <w:lang w:val="en-US" w:eastAsia="zh-CN"/>
        </w:rPr>
        <w:t>hm</w:t>
      </w:r>
      <w:r>
        <w:rPr>
          <w:rFonts w:hint="eastAsia" w:eastAsia="宋体" w:cs="Times New Roman"/>
          <w:snapToGrid w:val="0"/>
          <w:kern w:val="0"/>
          <w:szCs w:val="24"/>
          <w:vertAlign w:val="superscript"/>
          <w:lang w:val="en-US" w:eastAsia="zh-CN"/>
        </w:rPr>
        <w:t>2</w:t>
      </w:r>
      <w:r>
        <w:rPr>
          <w:rFonts w:hint="eastAsia" w:eastAsia="宋体"/>
          <w:snapToGrid w:val="0"/>
          <w:kern w:val="0"/>
          <w:lang w:eastAsia="zh-CN"/>
        </w:rPr>
        <w:t>。</w:t>
      </w:r>
    </w:p>
    <w:p>
      <w:pPr>
        <w:pStyle w:val="43"/>
        <w:ind w:firstLine="480"/>
        <w:rPr>
          <w:rFonts w:hint="eastAsia" w:eastAsia="宋体"/>
          <w:snapToGrid w:val="0"/>
          <w:kern w:val="0"/>
          <w:lang w:eastAsia="zh-CN"/>
        </w:rPr>
      </w:pPr>
      <w:r>
        <w:rPr>
          <w:rFonts w:hint="eastAsia" w:eastAsia="宋体"/>
          <w:snapToGrid w:val="0"/>
          <w:kern w:val="0"/>
          <w:lang w:eastAsia="zh-CN"/>
        </w:rPr>
        <w:t>（</w:t>
      </w:r>
      <w:r>
        <w:rPr>
          <w:rFonts w:hint="eastAsia"/>
          <w:snapToGrid w:val="0"/>
          <w:kern w:val="0"/>
          <w:lang w:val="en-US" w:eastAsia="zh-CN"/>
        </w:rPr>
        <w:t>1</w:t>
      </w:r>
      <w:r>
        <w:rPr>
          <w:rFonts w:hint="eastAsia" w:eastAsia="宋体"/>
          <w:snapToGrid w:val="0"/>
          <w:kern w:val="0"/>
          <w:lang w:eastAsia="zh-CN"/>
        </w:rPr>
        <w:t>）树、草种选择</w:t>
      </w:r>
    </w:p>
    <w:p>
      <w:pPr>
        <w:pStyle w:val="43"/>
        <w:ind w:firstLine="480"/>
        <w:rPr>
          <w:rFonts w:hint="eastAsia" w:eastAsia="宋体"/>
          <w:snapToGrid w:val="0"/>
          <w:kern w:val="0"/>
          <w:lang w:eastAsia="zh-CN"/>
        </w:rPr>
      </w:pPr>
      <w:r>
        <w:rPr>
          <w:rFonts w:hint="eastAsia" w:eastAsia="宋体"/>
          <w:snapToGrid w:val="0"/>
          <w:kern w:val="0"/>
          <w:lang w:eastAsia="zh-CN"/>
        </w:rPr>
        <w:t>根据项目区气候条件及立地条件，选择栽植</w:t>
      </w:r>
      <w:r>
        <w:rPr>
          <w:rFonts w:hint="eastAsia"/>
          <w:snapToGrid w:val="0"/>
          <w:kern w:val="0"/>
          <w:lang w:eastAsia="zh-CN"/>
        </w:rPr>
        <w:t>油松</w:t>
      </w:r>
      <w:r>
        <w:rPr>
          <w:rFonts w:hint="eastAsia" w:eastAsia="宋体"/>
          <w:snapToGrid w:val="0"/>
          <w:kern w:val="0"/>
          <w:lang w:eastAsia="zh-CN"/>
        </w:rPr>
        <w:t>。</w:t>
      </w:r>
    </w:p>
    <w:p>
      <w:pPr>
        <w:pStyle w:val="43"/>
        <w:ind w:firstLine="480"/>
        <w:rPr>
          <w:rFonts w:hint="eastAsia" w:eastAsia="宋体"/>
          <w:snapToGrid w:val="0"/>
          <w:kern w:val="0"/>
          <w:lang w:eastAsia="zh-CN"/>
        </w:rPr>
      </w:pPr>
      <w:r>
        <w:rPr>
          <w:rFonts w:hint="eastAsia" w:eastAsia="宋体"/>
          <w:snapToGrid w:val="0"/>
          <w:kern w:val="0"/>
          <w:lang w:eastAsia="zh-CN"/>
        </w:rPr>
        <w:t>（4）整地和密度</w:t>
      </w:r>
    </w:p>
    <w:p>
      <w:pPr>
        <w:pStyle w:val="43"/>
        <w:ind w:firstLine="480"/>
        <w:rPr>
          <w:rFonts w:hint="eastAsia" w:eastAsia="宋体"/>
          <w:snapToGrid w:val="0"/>
          <w:kern w:val="0"/>
          <w:lang w:eastAsia="zh-CN"/>
        </w:rPr>
      </w:pPr>
      <w:r>
        <w:rPr>
          <w:rFonts w:hint="eastAsia" w:eastAsia="宋体"/>
          <w:snapToGrid w:val="0"/>
          <w:kern w:val="0"/>
          <w:lang w:eastAsia="zh-CN"/>
        </w:rPr>
        <w:t>栽植</w:t>
      </w:r>
      <w:r>
        <w:rPr>
          <w:rFonts w:hint="eastAsia"/>
          <w:snapToGrid w:val="0"/>
          <w:kern w:val="0"/>
          <w:lang w:eastAsia="zh-CN"/>
        </w:rPr>
        <w:t>油松</w:t>
      </w:r>
      <w:r>
        <w:rPr>
          <w:rFonts w:hint="eastAsia" w:eastAsia="宋体"/>
          <w:snapToGrid w:val="0"/>
          <w:kern w:val="0"/>
          <w:lang w:eastAsia="zh-CN"/>
        </w:rPr>
        <w:t>，采用穴状整地的方法，整为圆形坑穴，规格为直径30cm，深 30cm，植株高度150cm，株行距2m×3m。</w:t>
      </w:r>
    </w:p>
    <w:p>
      <w:pPr>
        <w:pStyle w:val="43"/>
        <w:ind w:firstLine="480"/>
        <w:rPr>
          <w:rFonts w:hint="eastAsia" w:eastAsia="宋体"/>
          <w:snapToGrid w:val="0"/>
          <w:kern w:val="0"/>
          <w:lang w:eastAsia="zh-CN"/>
        </w:rPr>
      </w:pPr>
      <w:r>
        <w:rPr>
          <w:rFonts w:hint="eastAsia" w:eastAsia="宋体"/>
          <w:snapToGrid w:val="0"/>
          <w:kern w:val="0"/>
          <w:lang w:eastAsia="zh-CN"/>
        </w:rPr>
        <w:t>（5）苗木规格</w:t>
      </w:r>
    </w:p>
    <w:p>
      <w:pPr>
        <w:pStyle w:val="43"/>
        <w:ind w:firstLine="480"/>
        <w:rPr>
          <w:rFonts w:hint="eastAsia" w:eastAsia="宋体"/>
          <w:snapToGrid w:val="0"/>
          <w:kern w:val="0"/>
          <w:lang w:eastAsia="zh-CN"/>
        </w:rPr>
      </w:pPr>
      <w:r>
        <w:rPr>
          <w:rFonts w:hint="eastAsia"/>
          <w:snapToGrid w:val="0"/>
          <w:kern w:val="0"/>
          <w:lang w:eastAsia="zh-CN"/>
        </w:rPr>
        <w:t>油松</w:t>
      </w:r>
      <w:r>
        <w:rPr>
          <w:rFonts w:hint="eastAsia" w:eastAsia="宋体"/>
          <w:snapToGrid w:val="0"/>
          <w:kern w:val="0"/>
          <w:lang w:eastAsia="zh-CN"/>
        </w:rPr>
        <w:t>树苗要求发育良好，根系完整，苗高150cm，无病虫和机械损伤。</w:t>
      </w:r>
    </w:p>
    <w:p>
      <w:pPr>
        <w:pStyle w:val="43"/>
        <w:ind w:firstLine="480"/>
        <w:rPr>
          <w:rFonts w:hint="eastAsia" w:eastAsia="宋体"/>
          <w:snapToGrid w:val="0"/>
          <w:kern w:val="0"/>
          <w:lang w:eastAsia="zh-CN"/>
        </w:rPr>
      </w:pPr>
      <w:r>
        <w:rPr>
          <w:rFonts w:hint="eastAsia" w:eastAsia="宋体"/>
          <w:snapToGrid w:val="0"/>
          <w:kern w:val="0"/>
          <w:lang w:eastAsia="zh-CN"/>
        </w:rPr>
        <w:t>（6）造林技术要求</w:t>
      </w:r>
    </w:p>
    <w:p>
      <w:pPr>
        <w:pStyle w:val="43"/>
        <w:ind w:firstLine="480"/>
        <w:rPr>
          <w:rFonts w:hint="eastAsia" w:eastAsia="宋体"/>
          <w:snapToGrid w:val="0"/>
          <w:kern w:val="0"/>
          <w:lang w:eastAsia="zh-CN"/>
        </w:rPr>
      </w:pPr>
      <w:r>
        <w:rPr>
          <w:rFonts w:hint="eastAsia"/>
          <w:snapToGrid w:val="0"/>
          <w:kern w:val="0"/>
          <w:lang w:eastAsia="zh-CN"/>
        </w:rPr>
        <w:t>油松</w:t>
      </w:r>
      <w:r>
        <w:rPr>
          <w:rFonts w:hint="eastAsia" w:eastAsia="宋体"/>
          <w:snapToGrid w:val="0"/>
          <w:kern w:val="0"/>
          <w:lang w:eastAsia="zh-CN"/>
        </w:rPr>
        <w:t xml:space="preserve">采用边整地边栽种的施工方法，栽植时苗木放正，从四周填土至坑深1/3时将苗向上轻提，使根舒展，然后继续填土并踩实，栽植后每穴浇水5kg，三年内加强抚育管护。 </w:t>
      </w:r>
    </w:p>
    <w:p>
      <w:pPr>
        <w:pStyle w:val="43"/>
        <w:ind w:firstLine="480"/>
        <w:rPr>
          <w:rFonts w:hint="eastAsia" w:eastAsia="宋体"/>
          <w:snapToGrid w:val="0"/>
          <w:kern w:val="0"/>
          <w:lang w:eastAsia="zh-CN"/>
        </w:rPr>
      </w:pPr>
      <w:r>
        <w:rPr>
          <w:rFonts w:hint="eastAsia" w:eastAsia="宋体"/>
          <w:snapToGrid w:val="0"/>
          <w:kern w:val="0"/>
          <w:lang w:eastAsia="zh-CN"/>
        </w:rPr>
        <w:t>（7）工程量</w:t>
      </w:r>
    </w:p>
    <w:p>
      <w:pPr>
        <w:pStyle w:val="43"/>
        <w:ind w:firstLine="480"/>
        <w:rPr>
          <w:rFonts w:hint="eastAsia" w:eastAsia="宋体"/>
          <w:snapToGrid w:val="0"/>
          <w:kern w:val="0"/>
          <w:lang w:eastAsia="zh-CN"/>
        </w:rPr>
      </w:pPr>
      <w:r>
        <w:rPr>
          <w:rFonts w:hint="eastAsia" w:eastAsia="宋体"/>
          <w:snapToGrid w:val="0"/>
          <w:kern w:val="0"/>
          <w:lang w:eastAsia="zh-CN"/>
        </w:rPr>
        <w:t>经计算栽植</w:t>
      </w:r>
      <w:r>
        <w:rPr>
          <w:rFonts w:hint="eastAsia"/>
          <w:snapToGrid w:val="0"/>
          <w:kern w:val="0"/>
          <w:lang w:eastAsia="zh-CN"/>
        </w:rPr>
        <w:t>油松</w:t>
      </w:r>
      <w:r>
        <w:rPr>
          <w:rFonts w:hint="eastAsia"/>
          <w:snapToGrid w:val="0"/>
          <w:kern w:val="0"/>
          <w:lang w:val="en-US" w:eastAsia="zh-CN"/>
        </w:rPr>
        <w:t>683</w:t>
      </w:r>
      <w:r>
        <w:rPr>
          <w:rFonts w:hint="eastAsia" w:eastAsia="宋体"/>
          <w:snapToGrid w:val="0"/>
          <w:kern w:val="0"/>
          <w:lang w:eastAsia="zh-CN"/>
        </w:rPr>
        <w:t>株，需苗量</w:t>
      </w:r>
      <w:r>
        <w:rPr>
          <w:rFonts w:hint="eastAsia"/>
          <w:snapToGrid w:val="0"/>
          <w:kern w:val="0"/>
          <w:lang w:val="en-US" w:eastAsia="zh-CN"/>
        </w:rPr>
        <w:t>697</w:t>
      </w:r>
      <w:r>
        <w:rPr>
          <w:rFonts w:hint="eastAsia" w:eastAsia="宋体"/>
          <w:snapToGrid w:val="0"/>
          <w:kern w:val="0"/>
          <w:lang w:eastAsia="zh-CN"/>
        </w:rPr>
        <w:t>株。</w:t>
      </w:r>
    </w:p>
    <w:p>
      <w:pPr>
        <w:pStyle w:val="43"/>
        <w:ind w:firstLine="480"/>
        <w:rPr>
          <w:rFonts w:hint="eastAsia"/>
          <w:snapToGrid w:val="0"/>
          <w:kern w:val="0"/>
        </w:rPr>
      </w:pPr>
      <w:r>
        <w:rPr>
          <w:rFonts w:hint="eastAsia"/>
          <w:snapToGrid w:val="0"/>
          <w:kern w:val="0"/>
        </w:rPr>
        <w:t>（</w:t>
      </w:r>
      <w:r>
        <w:rPr>
          <w:rFonts w:hint="eastAsia"/>
          <w:snapToGrid w:val="0"/>
          <w:kern w:val="0"/>
          <w:lang w:eastAsia="zh-CN"/>
        </w:rPr>
        <w:t>三</w:t>
      </w:r>
      <w:r>
        <w:rPr>
          <w:rFonts w:hint="eastAsia"/>
          <w:snapToGrid w:val="0"/>
          <w:kern w:val="0"/>
        </w:rPr>
        <w:t>）</w:t>
      </w:r>
      <w:r>
        <w:rPr>
          <w:rFonts w:hint="eastAsia"/>
          <w:snapToGrid w:val="0"/>
          <w:kern w:val="0"/>
          <w:lang w:eastAsia="zh-CN"/>
        </w:rPr>
        <w:t>临时</w:t>
      </w:r>
      <w:r>
        <w:rPr>
          <w:rFonts w:hint="eastAsia"/>
          <w:snapToGrid w:val="0"/>
          <w:kern w:val="0"/>
        </w:rPr>
        <w:t>措施</w:t>
      </w:r>
    </w:p>
    <w:p>
      <w:pPr>
        <w:pStyle w:val="43"/>
        <w:ind w:firstLine="480"/>
        <w:rPr>
          <w:rFonts w:hint="eastAsia"/>
          <w:snapToGrid w:val="0"/>
          <w:kern w:val="0"/>
          <w:lang w:eastAsia="zh-CN"/>
        </w:rPr>
      </w:pPr>
      <w:r>
        <w:rPr>
          <w:rFonts w:hint="eastAsia"/>
          <w:snapToGrid w:val="0"/>
          <w:kern w:val="0"/>
          <w:lang w:eastAsia="zh-CN"/>
        </w:rPr>
        <w:t>方案新增</w:t>
      </w:r>
    </w:p>
    <w:p>
      <w:pPr>
        <w:pStyle w:val="2"/>
        <w:rPr>
          <w:rFonts w:hint="eastAsia" w:ascii="Times New Roman" w:hAnsi="Times New Roman" w:eastAsia="宋体" w:cs="Times New Roman"/>
          <w:snapToGrid w:val="0"/>
          <w:spacing w:val="0"/>
          <w:kern w:val="0"/>
          <w:sz w:val="24"/>
          <w:szCs w:val="24"/>
          <w:lang w:val="en-US" w:eastAsia="zh-CN" w:bidi="ar-SA"/>
        </w:rPr>
      </w:pPr>
      <w:r>
        <w:rPr>
          <w:rFonts w:hint="eastAsia" w:ascii="Times New Roman" w:hAnsi="Times New Roman" w:eastAsia="宋体" w:cs="Times New Roman"/>
          <w:snapToGrid w:val="0"/>
          <w:spacing w:val="0"/>
          <w:kern w:val="0"/>
          <w:sz w:val="24"/>
          <w:szCs w:val="24"/>
          <w:lang w:val="en-US" w:eastAsia="zh-CN" w:bidi="ar-SA"/>
        </w:rPr>
        <w:t>临时措施——①考虑将</w:t>
      </w:r>
      <w:r>
        <w:rPr>
          <w:rFonts w:hint="eastAsia" w:ascii="Times New Roman" w:hAnsi="Times New Roman" w:cs="Times New Roman"/>
          <w:snapToGrid w:val="0"/>
          <w:spacing w:val="0"/>
          <w:kern w:val="0"/>
          <w:sz w:val="24"/>
          <w:szCs w:val="24"/>
          <w:lang w:val="en-US" w:eastAsia="zh-CN" w:bidi="ar-SA"/>
        </w:rPr>
        <w:t>堆土</w:t>
      </w:r>
      <w:r>
        <w:rPr>
          <w:rFonts w:hint="eastAsia" w:ascii="Times New Roman" w:hAnsi="Times New Roman" w:eastAsia="宋体" w:cs="Times New Roman"/>
          <w:snapToGrid w:val="0"/>
          <w:spacing w:val="0"/>
          <w:kern w:val="0"/>
          <w:sz w:val="24"/>
          <w:szCs w:val="24"/>
          <w:lang w:val="en-US" w:eastAsia="zh-CN" w:bidi="ar-SA"/>
        </w:rPr>
        <w:t>分段堆放于</w:t>
      </w:r>
      <w:r>
        <w:rPr>
          <w:rFonts w:hint="eastAsia" w:ascii="Times New Roman" w:hAnsi="Times New Roman" w:cs="Times New Roman"/>
          <w:snapToGrid w:val="0"/>
          <w:spacing w:val="0"/>
          <w:kern w:val="0"/>
          <w:sz w:val="24"/>
          <w:szCs w:val="24"/>
          <w:lang w:val="en-US" w:eastAsia="zh-CN" w:bidi="ar-SA"/>
        </w:rPr>
        <w:t>场内设计绿化区域</w:t>
      </w:r>
      <w:r>
        <w:rPr>
          <w:rFonts w:hint="eastAsia" w:ascii="Times New Roman" w:hAnsi="Times New Roman" w:eastAsia="宋体" w:cs="Times New Roman"/>
          <w:snapToGrid w:val="0"/>
          <w:spacing w:val="0"/>
          <w:kern w:val="0"/>
          <w:sz w:val="24"/>
          <w:szCs w:val="24"/>
          <w:lang w:val="en-US" w:eastAsia="zh-CN" w:bidi="ar-SA"/>
        </w:rPr>
        <w:t>，堆高</w:t>
      </w:r>
      <w:r>
        <w:rPr>
          <w:rFonts w:hint="eastAsia" w:cs="Times New Roman"/>
          <w:snapToGrid w:val="0"/>
          <w:spacing w:val="0"/>
          <w:kern w:val="0"/>
          <w:sz w:val="24"/>
          <w:szCs w:val="24"/>
          <w:lang w:val="en-US" w:eastAsia="zh-CN" w:bidi="ar-SA"/>
        </w:rPr>
        <w:t>2</w:t>
      </w:r>
      <w:r>
        <w:rPr>
          <w:rFonts w:hint="eastAsia" w:ascii="Times New Roman" w:hAnsi="Times New Roman" w:eastAsia="宋体" w:cs="Times New Roman"/>
          <w:snapToGrid w:val="0"/>
          <w:spacing w:val="0"/>
          <w:kern w:val="0"/>
          <w:sz w:val="24"/>
          <w:szCs w:val="24"/>
          <w:lang w:val="en-US" w:eastAsia="zh-CN" w:bidi="ar-SA"/>
        </w:rPr>
        <w:t>m，四周洒水并用铁锹拍实，并进行</w:t>
      </w:r>
      <w:r>
        <w:rPr>
          <w:rFonts w:hint="eastAsia" w:cs="Times New Roman"/>
          <w:snapToGrid w:val="0"/>
          <w:spacing w:val="0"/>
          <w:kern w:val="0"/>
          <w:sz w:val="24"/>
          <w:szCs w:val="24"/>
          <w:lang w:val="en-US" w:eastAsia="zh-CN" w:bidi="ar-SA"/>
        </w:rPr>
        <w:t>彩条布</w:t>
      </w:r>
      <w:r>
        <w:rPr>
          <w:rFonts w:hint="eastAsia" w:ascii="Times New Roman" w:hAnsi="Times New Roman" w:eastAsia="宋体" w:cs="Times New Roman"/>
          <w:snapToGrid w:val="0"/>
          <w:spacing w:val="0"/>
          <w:kern w:val="0"/>
          <w:sz w:val="24"/>
          <w:szCs w:val="24"/>
          <w:lang w:val="en-US" w:eastAsia="zh-CN" w:bidi="ar-SA"/>
        </w:rPr>
        <w:t>苫盖处理，结合全线堆土情况，综合考虑需苫盖</w:t>
      </w:r>
      <w:r>
        <w:rPr>
          <w:rFonts w:hint="eastAsia" w:cs="Times New Roman"/>
          <w:snapToGrid w:val="0"/>
          <w:spacing w:val="0"/>
          <w:kern w:val="0"/>
          <w:sz w:val="24"/>
          <w:szCs w:val="24"/>
          <w:lang w:val="en-US" w:eastAsia="zh-CN" w:bidi="ar-SA"/>
        </w:rPr>
        <w:t>彩条布65</w:t>
      </w:r>
      <w:r>
        <w:rPr>
          <w:rFonts w:hint="eastAsia" w:ascii="Times New Roman" w:hAnsi="Times New Roman" w:eastAsia="宋体" w:cs="Times New Roman"/>
          <w:snapToGrid w:val="0"/>
          <w:spacing w:val="0"/>
          <w:kern w:val="0"/>
          <w:sz w:val="24"/>
          <w:szCs w:val="24"/>
          <w:lang w:val="en-US" w:eastAsia="zh-CN" w:bidi="ar-SA"/>
        </w:rPr>
        <w:t>0m</w:t>
      </w:r>
      <w:r>
        <w:rPr>
          <w:rFonts w:hint="eastAsia" w:ascii="Times New Roman" w:hAnsi="Times New Roman" w:eastAsia="宋体" w:cs="Times New Roman"/>
          <w:snapToGrid w:val="0"/>
          <w:spacing w:val="0"/>
          <w:kern w:val="0"/>
          <w:sz w:val="24"/>
          <w:szCs w:val="24"/>
          <w:vertAlign w:val="superscript"/>
          <w:lang w:val="en-US" w:eastAsia="zh-CN" w:bidi="ar-SA"/>
        </w:rPr>
        <w:t>2</w:t>
      </w:r>
      <w:r>
        <w:rPr>
          <w:rFonts w:hint="eastAsia" w:ascii="Times New Roman" w:hAnsi="Times New Roman" w:eastAsia="宋体" w:cs="Times New Roman"/>
          <w:snapToGrid w:val="0"/>
          <w:spacing w:val="0"/>
          <w:kern w:val="0"/>
          <w:sz w:val="24"/>
          <w:szCs w:val="24"/>
          <w:lang w:val="en-US" w:eastAsia="zh-CN" w:bidi="ar-SA"/>
        </w:rPr>
        <w:t>。</w:t>
      </w:r>
    </w:p>
    <w:p>
      <w:pPr>
        <w:pStyle w:val="43"/>
        <w:ind w:firstLine="480"/>
        <w:rPr>
          <w:rFonts w:hint="eastAsia" w:eastAsia="宋体"/>
          <w:snapToGrid w:val="0"/>
          <w:kern w:val="0"/>
          <w:lang w:eastAsia="zh-CN"/>
        </w:rPr>
      </w:pPr>
      <w:r>
        <w:rPr>
          <w:rFonts w:hint="eastAsia"/>
          <w:snapToGrid w:val="0"/>
          <w:kern w:val="0"/>
          <w:lang w:val="en-US" w:eastAsia="zh-CN"/>
        </w:rPr>
        <w:t>2、</w:t>
      </w:r>
      <w:r>
        <w:rPr>
          <w:rFonts w:hint="eastAsia"/>
          <w:snapToGrid w:val="0"/>
          <w:kern w:val="0"/>
          <w:lang w:eastAsia="zh-CN"/>
        </w:rPr>
        <w:t>进场道路防治区</w:t>
      </w:r>
    </w:p>
    <w:p>
      <w:pPr>
        <w:pStyle w:val="43"/>
        <w:ind w:firstLine="480"/>
        <w:rPr>
          <w:rFonts w:hint="eastAsia"/>
          <w:snapToGrid w:val="0"/>
          <w:kern w:val="0"/>
        </w:rPr>
      </w:pPr>
      <w:r>
        <w:rPr>
          <w:rFonts w:hint="eastAsia"/>
          <w:snapToGrid w:val="0"/>
          <w:kern w:val="0"/>
        </w:rPr>
        <w:t>（一）工程措施</w:t>
      </w:r>
    </w:p>
    <w:p>
      <w:pPr>
        <w:pStyle w:val="43"/>
        <w:ind w:firstLine="480"/>
        <w:rPr>
          <w:rFonts w:hint="eastAsia" w:eastAsia="宋体"/>
          <w:snapToGrid w:val="0"/>
          <w:kern w:val="0"/>
          <w:lang w:eastAsia="zh-CN"/>
        </w:rPr>
      </w:pPr>
      <w:r>
        <w:rPr>
          <w:rFonts w:hint="eastAsia"/>
          <w:snapToGrid w:val="0"/>
          <w:kern w:val="0"/>
          <w:lang w:eastAsia="zh-CN"/>
        </w:rPr>
        <w:t>方案新增</w:t>
      </w:r>
    </w:p>
    <w:p>
      <w:pPr>
        <w:pStyle w:val="43"/>
        <w:ind w:firstLine="480"/>
        <w:rPr>
          <w:rFonts w:hint="eastAsia"/>
          <w:snapToGrid w:val="0"/>
          <w:kern w:val="0"/>
          <w:lang w:val="en-US" w:eastAsia="zh-CN"/>
        </w:rPr>
      </w:pPr>
      <w:r>
        <w:rPr>
          <w:rFonts w:hint="eastAsia" w:eastAsia="宋体"/>
          <w:snapToGrid w:val="0"/>
          <w:kern w:val="0"/>
          <w:lang w:eastAsia="zh-CN"/>
        </w:rPr>
        <w:t>工程措施——</w:t>
      </w:r>
      <w:r>
        <w:rPr>
          <w:rFonts w:hint="eastAsia"/>
          <w:snapToGrid w:val="0"/>
          <w:kern w:val="0"/>
          <w:lang w:eastAsia="zh-CN"/>
        </w:rPr>
        <w:t>在</w:t>
      </w:r>
      <w:r>
        <w:rPr>
          <w:rFonts w:hint="eastAsia"/>
          <w:snapToGrid w:val="0"/>
          <w:kern w:val="0"/>
          <w:lang w:val="en-US" w:eastAsia="zh-CN"/>
        </w:rPr>
        <w:t>进场道路一侧排水沟连接至工业场地排水沟排入工业场地雨水收集池内，</w:t>
      </w:r>
      <w:r>
        <w:rPr>
          <w:rFonts w:hint="eastAsia"/>
          <w:snapToGrid w:val="0"/>
          <w:kern w:val="0"/>
          <w:lang w:eastAsia="zh-CN"/>
        </w:rPr>
        <w:t>排水沟采用浆砌石（M</w:t>
      </w:r>
      <w:r>
        <w:rPr>
          <w:rFonts w:hint="eastAsia"/>
          <w:snapToGrid w:val="0"/>
          <w:kern w:val="0"/>
          <w:lang w:val="en-US" w:eastAsia="zh-CN"/>
        </w:rPr>
        <w:t>10</w:t>
      </w:r>
      <w:r>
        <w:rPr>
          <w:rFonts w:hint="eastAsia"/>
          <w:snapToGrid w:val="0"/>
          <w:kern w:val="0"/>
          <w:lang w:eastAsia="zh-CN"/>
        </w:rPr>
        <w:t>）矩形断面形式，底宽 0.4m，深 0.4m，壁厚 0.3m，共布设排水沟</w:t>
      </w:r>
      <w:r>
        <w:rPr>
          <w:rFonts w:hint="eastAsia"/>
          <w:snapToGrid w:val="0"/>
          <w:kern w:val="0"/>
          <w:lang w:val="en-US" w:eastAsia="zh-CN"/>
        </w:rPr>
        <w:t>10</w:t>
      </w:r>
      <w:r>
        <w:rPr>
          <w:rFonts w:hint="eastAsia"/>
          <w:snapToGrid w:val="0"/>
          <w:kern w:val="0"/>
          <w:lang w:eastAsia="zh-CN"/>
        </w:rPr>
        <w:t>m，土方开挖</w:t>
      </w:r>
      <w:r>
        <w:rPr>
          <w:rFonts w:hint="eastAsia"/>
          <w:snapToGrid w:val="0"/>
          <w:kern w:val="0"/>
          <w:lang w:val="en-US" w:eastAsia="zh-CN"/>
        </w:rPr>
        <w:t>9.41</w:t>
      </w:r>
      <w:r>
        <w:rPr>
          <w:rFonts w:hint="eastAsia"/>
          <w:snapToGrid w:val="0"/>
          <w:kern w:val="0"/>
          <w:lang w:eastAsia="zh-CN"/>
        </w:rPr>
        <w:t>m</w:t>
      </w:r>
      <w:r>
        <w:rPr>
          <w:rFonts w:hint="eastAsia"/>
          <w:snapToGrid w:val="0"/>
          <w:kern w:val="0"/>
          <w:vertAlign w:val="superscript"/>
          <w:lang w:eastAsia="zh-CN"/>
        </w:rPr>
        <w:t>3</w:t>
      </w:r>
      <w:r>
        <w:rPr>
          <w:rFonts w:hint="eastAsia"/>
          <w:snapToGrid w:val="0"/>
          <w:kern w:val="0"/>
          <w:lang w:eastAsia="zh-CN"/>
        </w:rPr>
        <w:t>，土方回填</w:t>
      </w:r>
      <w:r>
        <w:rPr>
          <w:rFonts w:hint="eastAsia"/>
          <w:snapToGrid w:val="0"/>
          <w:kern w:val="0"/>
          <w:lang w:val="en-US" w:eastAsia="zh-CN"/>
        </w:rPr>
        <w:t>2.45</w:t>
      </w:r>
      <w:r>
        <w:rPr>
          <w:rFonts w:hint="eastAsia"/>
          <w:snapToGrid w:val="0"/>
          <w:kern w:val="0"/>
          <w:lang w:eastAsia="zh-CN"/>
        </w:rPr>
        <w:t xml:space="preserve"> m</w:t>
      </w:r>
      <w:r>
        <w:rPr>
          <w:rFonts w:hint="eastAsia"/>
          <w:snapToGrid w:val="0"/>
          <w:kern w:val="0"/>
          <w:vertAlign w:val="superscript"/>
          <w:lang w:eastAsia="zh-CN"/>
        </w:rPr>
        <w:t>3</w:t>
      </w:r>
      <w:r>
        <w:rPr>
          <w:rFonts w:hint="eastAsia"/>
          <w:snapToGrid w:val="0"/>
          <w:kern w:val="0"/>
          <w:lang w:eastAsia="zh-CN"/>
        </w:rPr>
        <w:t>，浆砌石</w:t>
      </w:r>
      <w:r>
        <w:rPr>
          <w:rFonts w:hint="eastAsia"/>
          <w:snapToGrid w:val="0"/>
          <w:kern w:val="0"/>
          <w:lang w:val="en-US" w:eastAsia="zh-CN"/>
        </w:rPr>
        <w:t>6.09</w:t>
      </w:r>
      <w:r>
        <w:rPr>
          <w:rFonts w:hint="eastAsia"/>
          <w:snapToGrid w:val="0"/>
          <w:kern w:val="0"/>
          <w:lang w:eastAsia="zh-CN"/>
        </w:rPr>
        <w:t>m</w:t>
      </w:r>
      <w:r>
        <w:rPr>
          <w:rFonts w:hint="eastAsia"/>
          <w:snapToGrid w:val="0"/>
          <w:kern w:val="0"/>
          <w:vertAlign w:val="superscript"/>
          <w:lang w:eastAsia="zh-CN"/>
        </w:rPr>
        <w:t>3</w:t>
      </w:r>
      <w:r>
        <w:rPr>
          <w:rFonts w:hint="eastAsia"/>
          <w:snapToGrid w:val="0"/>
          <w:kern w:val="0"/>
          <w:lang w:eastAsia="zh-CN"/>
        </w:rPr>
        <w:t>。</w:t>
      </w:r>
    </w:p>
    <w:p>
      <w:pPr>
        <w:pStyle w:val="2"/>
        <w:rPr>
          <w:rFonts w:hint="eastAsia" w:ascii="Times New Roman" w:hAnsi="Times New Roman" w:eastAsia="宋体" w:cs="Times New Roman"/>
          <w:snapToGrid w:val="0"/>
          <w:spacing w:val="0"/>
          <w:kern w:val="0"/>
          <w:sz w:val="24"/>
          <w:szCs w:val="24"/>
          <w:lang w:val="en-US" w:eastAsia="zh-CN" w:bidi="ar-SA"/>
        </w:rPr>
      </w:pPr>
    </w:p>
    <w:p>
      <w:pPr>
        <w:pStyle w:val="2"/>
        <w:rPr>
          <w:rFonts w:hint="eastAsia" w:ascii="Times New Roman" w:hAnsi="Times New Roman" w:eastAsia="宋体" w:cs="Times New Roman"/>
          <w:snapToGrid w:val="0"/>
          <w:spacing w:val="0"/>
          <w:kern w:val="0"/>
          <w:sz w:val="24"/>
          <w:szCs w:val="24"/>
          <w:lang w:val="en-US" w:eastAsia="zh-CN" w:bidi="ar-SA"/>
        </w:rPr>
      </w:pPr>
    </w:p>
    <w:p>
      <w:pPr>
        <w:pStyle w:val="43"/>
        <w:ind w:firstLine="480"/>
        <w:rPr>
          <w:rFonts w:hint="eastAsia"/>
          <w:snapToGrid w:val="0"/>
          <w:kern w:val="0"/>
        </w:rPr>
      </w:pPr>
      <w:r>
        <w:rPr>
          <w:rFonts w:hint="eastAsia"/>
          <w:snapToGrid w:val="0"/>
          <w:kern w:val="0"/>
        </w:rPr>
        <w:t>详细工程量见表</w:t>
      </w:r>
      <w:r>
        <w:rPr>
          <w:rFonts w:hint="eastAsia"/>
          <w:snapToGrid w:val="0"/>
          <w:kern w:val="0"/>
          <w:lang w:val="en-US" w:eastAsia="zh-CN"/>
        </w:rPr>
        <w:t>7</w:t>
      </w:r>
      <w:r>
        <w:rPr>
          <w:rFonts w:hint="eastAsia"/>
          <w:snapToGrid w:val="0"/>
          <w:kern w:val="0"/>
        </w:rPr>
        <w:t>-1</w:t>
      </w:r>
      <w:r>
        <w:rPr>
          <w:rFonts w:hint="eastAsia"/>
          <w:snapToGrid w:val="0"/>
          <w:kern w:val="0"/>
          <w:lang w:eastAsia="zh-CN"/>
        </w:rPr>
        <w:t>至</w:t>
      </w:r>
      <w:r>
        <w:rPr>
          <w:rFonts w:hint="eastAsia"/>
          <w:snapToGrid w:val="0"/>
          <w:kern w:val="0"/>
          <w:lang w:val="en-US" w:eastAsia="zh-CN"/>
        </w:rPr>
        <w:t>7-3</w:t>
      </w:r>
      <w:r>
        <w:rPr>
          <w:rFonts w:hint="eastAsia"/>
          <w:snapToGrid w:val="0"/>
          <w:kern w:val="0"/>
        </w:rPr>
        <w:t>。</w:t>
      </w:r>
    </w:p>
    <w:p>
      <w:pPr>
        <w:pStyle w:val="43"/>
        <w:ind w:firstLine="480"/>
        <w:jc w:val="center"/>
        <w:rPr>
          <w:rFonts w:hint="eastAsia"/>
          <w:snapToGrid w:val="0"/>
          <w:kern w:val="0"/>
        </w:rPr>
      </w:pPr>
      <w:r>
        <w:rPr>
          <w:rFonts w:ascii="Times New Roman" w:hAnsi="Times New Roman" w:eastAsia="仿宋_GB2312"/>
          <w:b/>
          <w:bCs/>
          <w:sz w:val="24"/>
        </w:rPr>
        <w:t>表</w:t>
      </w:r>
      <w:r>
        <w:rPr>
          <w:rFonts w:hint="eastAsia" w:eastAsia="仿宋_GB2312"/>
          <w:b/>
          <w:bCs/>
          <w:sz w:val="24"/>
          <w:lang w:val="en-US" w:eastAsia="zh-CN"/>
        </w:rPr>
        <w:t>7</w:t>
      </w:r>
      <w:r>
        <w:rPr>
          <w:rFonts w:hint="eastAsia" w:ascii="Times New Roman" w:hAnsi="Times New Roman" w:eastAsia="仿宋_GB2312"/>
          <w:b/>
          <w:bCs/>
          <w:sz w:val="24"/>
          <w:lang w:val="en-US" w:eastAsia="zh-CN"/>
        </w:rPr>
        <w:t>-</w:t>
      </w:r>
      <w:r>
        <w:rPr>
          <w:rFonts w:ascii="Times New Roman" w:hAnsi="Times New Roman" w:eastAsia="仿宋_GB2312"/>
          <w:b/>
          <w:bCs/>
          <w:sz w:val="24"/>
        </w:rPr>
        <w:t>1  工程措施工程量汇总表</w:t>
      </w:r>
    </w:p>
    <w:tbl>
      <w:tblPr>
        <w:tblStyle w:val="24"/>
        <w:tblW w:w="88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70"/>
        <w:gridCol w:w="1714"/>
        <w:gridCol w:w="738"/>
        <w:gridCol w:w="1009"/>
        <w:gridCol w:w="1351"/>
        <w:gridCol w:w="1200"/>
        <w:gridCol w:w="20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数 量</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248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198"/>
                <w:rFonts w:hAnsi="宋体"/>
                <w:lang w:val="en-US" w:eastAsia="zh-CN" w:bidi="ar"/>
              </w:rPr>
              <w:t xml:space="preserve"> 工程措施</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204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1</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lang w:val="en-US"/>
              </w:rPr>
            </w:pPr>
            <w:r>
              <w:rPr>
                <w:rFonts w:hint="default" w:ascii="Times New Roman" w:hAnsi="Times New Roman" w:eastAsia="宋体" w:cs="Times New Roman"/>
                <w:i w:val="0"/>
                <w:color w:val="000000"/>
                <w:sz w:val="22"/>
                <w:szCs w:val="22"/>
                <w:u w:val="none"/>
                <w:lang w:val="en-US" w:eastAsia="zh-CN"/>
              </w:rPr>
              <w:t>380</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396</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土方开挖</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357.48 </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371.78 </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土方回填</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93.07</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96.79 </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浆砌石</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231.37 </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240.62 </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表土剥离</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_GB2312" w:cstheme="minorBidi"/>
                <w:kern w:val="0"/>
                <w:sz w:val="24"/>
                <w:szCs w:val="21"/>
                <w:lang w:val="en-US" w:eastAsia="zh-CN" w:bidi="ar-SA"/>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1100</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1144.00 </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表土回覆</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仿宋_GB2312" w:cstheme="minorBidi"/>
                <w:kern w:val="0"/>
                <w:sz w:val="24"/>
                <w:szCs w:val="21"/>
                <w:lang w:val="en-US" w:eastAsia="zh-CN" w:bidi="ar-SA"/>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1100</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1144.00 </w:t>
            </w:r>
          </w:p>
        </w:tc>
        <w:tc>
          <w:tcPr>
            <w:tcW w:w="2046"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雨水收集池</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Times New Roman" w:hAnsi="Times New Roman" w:eastAsia="仿宋_GB2312"/>
                <w:kern w:val="0"/>
                <w:szCs w:val="21"/>
                <w:lang w:val="en-US" w:eastAsia="zh-CN"/>
              </w:rPr>
            </w:pPr>
            <w:r>
              <w:rPr>
                <w:rFonts w:hint="eastAsia" w:eastAsia="仿宋_GB2312"/>
                <w:kern w:val="0"/>
                <w:szCs w:val="21"/>
                <w:lang w:val="en-US" w:eastAsia="zh-CN"/>
              </w:rPr>
              <w:t>座</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主体已有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color w:val="000000"/>
                <w:kern w:val="0"/>
                <w:sz w:val="21"/>
                <w:szCs w:val="21"/>
                <w:u w:val="none"/>
                <w:lang w:val="en-US" w:eastAsia="zh-CN" w:bidi="ar"/>
              </w:rPr>
            </w:pPr>
            <w:r>
              <w:rPr>
                <w:rFonts w:hint="eastAsia" w:ascii="仿宋_GB2312" w:hAnsi="宋体" w:eastAsia="仿宋_GB2312" w:cs="仿宋_GB2312"/>
                <w:b/>
                <w:bCs/>
                <w:i w:val="0"/>
                <w:color w:val="000000"/>
                <w:kern w:val="0"/>
                <w:sz w:val="21"/>
                <w:szCs w:val="21"/>
                <w:u w:val="none"/>
                <w:lang w:val="en-US" w:eastAsia="zh-CN" w:bidi="ar"/>
              </w:rPr>
              <w:t>二</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color w:val="000000"/>
                <w:kern w:val="0"/>
                <w:sz w:val="21"/>
                <w:szCs w:val="21"/>
                <w:u w:val="none"/>
                <w:lang w:val="en-US" w:eastAsia="zh-CN" w:bidi="ar"/>
              </w:rPr>
            </w:pPr>
            <w:r>
              <w:rPr>
                <w:rFonts w:hint="eastAsia" w:ascii="仿宋_GB2312" w:hAnsi="宋体" w:eastAsia="仿宋_GB2312" w:cs="仿宋_GB2312"/>
                <w:b/>
                <w:bCs/>
                <w:i w:val="0"/>
                <w:color w:val="000000"/>
                <w:kern w:val="0"/>
                <w:sz w:val="21"/>
                <w:szCs w:val="21"/>
                <w:u w:val="none"/>
                <w:lang w:val="en-US" w:eastAsia="zh-CN" w:bidi="ar"/>
              </w:rPr>
              <w:t>进场道路防治区</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Times New Roman" w:hAnsi="Times New Roman" w:eastAsia="仿宋_GB2312"/>
                <w:kern w:val="0"/>
                <w:szCs w:val="21"/>
                <w:lang w:val="en-US" w:eastAsia="zh-CN"/>
              </w:rPr>
            </w:pP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204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排水沟</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kern w:val="0"/>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m</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11</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土方开挖</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kern w:val="0"/>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9.41</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9.79 </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土方回填</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kern w:val="0"/>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2.45 </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2.55 </w:t>
            </w:r>
          </w:p>
        </w:tc>
        <w:tc>
          <w:tcPr>
            <w:tcW w:w="2046"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浆砌石</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kern w:val="0"/>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6.09</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6.33 </w:t>
            </w:r>
          </w:p>
        </w:tc>
        <w:tc>
          <w:tcPr>
            <w:tcW w:w="2046"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jc w:val="center"/>
        <w:rPr>
          <w:rFonts w:ascii="Times New Roman" w:hAnsi="Times New Roman" w:eastAsia="仿宋_GB2312"/>
          <w:b/>
          <w:bCs/>
          <w:sz w:val="24"/>
        </w:rPr>
      </w:pPr>
    </w:p>
    <w:p>
      <w:pPr>
        <w:jc w:val="center"/>
        <w:rPr>
          <w:rFonts w:ascii="Times New Roman" w:hAnsi="Times New Roman" w:eastAsia="仿宋_GB2312"/>
          <w:b/>
          <w:bCs/>
          <w:sz w:val="24"/>
        </w:rPr>
      </w:pPr>
      <w:r>
        <w:rPr>
          <w:rFonts w:ascii="Times New Roman" w:hAnsi="Times New Roman" w:eastAsia="仿宋_GB2312"/>
          <w:b/>
          <w:bCs/>
          <w:sz w:val="24"/>
        </w:rPr>
        <w:t>表</w:t>
      </w:r>
      <w:r>
        <w:rPr>
          <w:rFonts w:hint="eastAsia" w:eastAsia="仿宋_GB2312"/>
          <w:b/>
          <w:bCs/>
          <w:sz w:val="24"/>
          <w:lang w:val="en-US" w:eastAsia="zh-CN"/>
        </w:rPr>
        <w:t>7</w:t>
      </w:r>
      <w:r>
        <w:rPr>
          <w:rFonts w:hint="eastAsia" w:ascii="Times New Roman" w:hAnsi="Times New Roman" w:eastAsia="仿宋_GB2312"/>
          <w:b/>
          <w:bCs/>
          <w:sz w:val="24"/>
          <w:lang w:val="en-US" w:eastAsia="zh-CN"/>
        </w:rPr>
        <w:t>-</w:t>
      </w:r>
      <w:r>
        <w:rPr>
          <w:rFonts w:ascii="Times New Roman" w:hAnsi="Times New Roman" w:eastAsia="仿宋_GB2312"/>
          <w:b/>
          <w:bCs/>
          <w:sz w:val="24"/>
        </w:rPr>
        <w:t>2  植物措施工程量汇总表</w:t>
      </w:r>
    </w:p>
    <w:tbl>
      <w:tblPr>
        <w:tblStyle w:val="24"/>
        <w:tblW w:w="88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77"/>
        <w:gridCol w:w="1923"/>
        <w:gridCol w:w="877"/>
        <w:gridCol w:w="868"/>
        <w:gridCol w:w="1337"/>
        <w:gridCol w:w="1213"/>
        <w:gridCol w:w="20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工程量</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20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25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20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2063"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0.41</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2063" w:type="dxa"/>
            <w:vMerge w:val="continue"/>
            <w:tcBorders>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栽植</w:t>
            </w:r>
            <w:r>
              <w:rPr>
                <w:rFonts w:hint="eastAsia" w:ascii="仿宋_GB2312" w:hAnsi="宋体" w:eastAsia="仿宋_GB2312" w:cs="仿宋_GB2312"/>
                <w:i w:val="0"/>
                <w:color w:val="000000"/>
                <w:kern w:val="0"/>
                <w:sz w:val="21"/>
                <w:szCs w:val="21"/>
                <w:u w:val="none"/>
                <w:lang w:val="en-US" w:eastAsia="zh-CN" w:bidi="ar"/>
              </w:rPr>
              <w:t>油松</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2"/>
                <w:szCs w:val="22"/>
                <w:u w:val="none"/>
                <w:lang w:val="en-US" w:eastAsia="zh-CN" w:bidi="ar-SA"/>
              </w:rPr>
            </w:pP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2063" w:type="dxa"/>
            <w:vMerge w:val="continue"/>
            <w:tcBorders>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穴状整地（3</w:t>
            </w:r>
            <w:r>
              <w:rPr>
                <w:rStyle w:val="199"/>
                <w:rFonts w:eastAsia="仿宋_GB2312"/>
                <w:lang w:val="en-US" w:eastAsia="zh-CN" w:bidi="ar"/>
              </w:rPr>
              <w:t>0×</w:t>
            </w:r>
            <w:r>
              <w:rPr>
                <w:rStyle w:val="200"/>
                <w:rFonts w:hAnsi="宋体"/>
                <w:lang w:val="en-US" w:eastAsia="zh-CN" w:bidi="ar"/>
              </w:rPr>
              <w:t>3</w:t>
            </w:r>
            <w:r>
              <w:rPr>
                <w:rStyle w:val="199"/>
                <w:rFonts w:eastAsia="仿宋_GB2312"/>
                <w:lang w:val="en-US" w:eastAsia="zh-CN" w:bidi="ar"/>
              </w:rPr>
              <w:t>0</w:t>
            </w:r>
            <w:r>
              <w:rPr>
                <w:rStyle w:val="200"/>
                <w:rFonts w:hAnsi="宋体"/>
                <w:lang w:val="en-US" w:eastAsia="zh-CN" w:bidi="ar"/>
              </w:rPr>
              <w:t>）</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个</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683</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1.03</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704</w:t>
            </w:r>
          </w:p>
        </w:tc>
        <w:tc>
          <w:tcPr>
            <w:tcW w:w="2063" w:type="dxa"/>
            <w:vMerge w:val="continue"/>
            <w:tcBorders>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栽植苗数</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株</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683</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1.03</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704</w:t>
            </w:r>
          </w:p>
        </w:tc>
        <w:tc>
          <w:tcPr>
            <w:tcW w:w="2063" w:type="dxa"/>
            <w:vMerge w:val="continue"/>
            <w:tcBorders>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需苗量</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株</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697</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1.03</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718</w:t>
            </w:r>
          </w:p>
        </w:tc>
        <w:tc>
          <w:tcPr>
            <w:tcW w:w="2063"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bl>
    <w:p>
      <w:pPr>
        <w:pStyle w:val="43"/>
        <w:ind w:firstLine="480"/>
        <w:rPr>
          <w:snapToGrid w:val="0"/>
          <w:kern w:val="0"/>
        </w:rPr>
      </w:pPr>
    </w:p>
    <w:p>
      <w:pPr>
        <w:rPr>
          <w:rFonts w:ascii="Times New Roman" w:hAnsi="Times New Roman" w:eastAsia="仿宋_GB2312"/>
          <w:b/>
          <w:bCs/>
          <w:sz w:val="24"/>
        </w:rPr>
      </w:pPr>
      <w:r>
        <w:rPr>
          <w:rFonts w:ascii="Times New Roman" w:hAnsi="Times New Roman" w:eastAsia="仿宋_GB2312"/>
          <w:b/>
          <w:bCs/>
          <w:sz w:val="24"/>
        </w:rPr>
        <w:br w:type="page"/>
      </w:r>
    </w:p>
    <w:p>
      <w:pPr>
        <w:jc w:val="center"/>
        <w:rPr>
          <w:rFonts w:ascii="Times New Roman" w:hAnsi="Times New Roman" w:eastAsia="仿宋_GB2312"/>
          <w:b/>
          <w:bCs/>
          <w:sz w:val="24"/>
        </w:rPr>
      </w:pPr>
      <w:r>
        <w:rPr>
          <w:rFonts w:ascii="Times New Roman" w:hAnsi="Times New Roman" w:eastAsia="仿宋_GB2312"/>
          <w:b/>
          <w:bCs/>
          <w:sz w:val="24"/>
        </w:rPr>
        <w:t>表</w:t>
      </w:r>
      <w:r>
        <w:rPr>
          <w:rFonts w:hint="eastAsia" w:ascii="Times New Roman" w:hAnsi="Times New Roman" w:eastAsia="仿宋_GB2312"/>
          <w:b/>
          <w:bCs/>
          <w:sz w:val="24"/>
          <w:lang w:val="en-US" w:eastAsia="zh-CN"/>
        </w:rPr>
        <w:t>7-3</w:t>
      </w:r>
      <w:r>
        <w:rPr>
          <w:rFonts w:ascii="Times New Roman" w:hAnsi="Times New Roman" w:eastAsia="仿宋_GB2312"/>
          <w:b/>
          <w:bCs/>
          <w:sz w:val="24"/>
        </w:rPr>
        <w:t xml:space="preserve">  </w:t>
      </w:r>
      <w:r>
        <w:rPr>
          <w:rFonts w:hint="eastAsia" w:ascii="Times New Roman" w:hAnsi="Times New Roman" w:eastAsia="仿宋_GB2312"/>
          <w:b/>
          <w:bCs/>
          <w:sz w:val="24"/>
          <w:lang w:eastAsia="zh-CN"/>
        </w:rPr>
        <w:t>临时</w:t>
      </w:r>
      <w:r>
        <w:rPr>
          <w:rFonts w:ascii="Times New Roman" w:hAnsi="Times New Roman" w:eastAsia="仿宋_GB2312"/>
          <w:b/>
          <w:bCs/>
          <w:sz w:val="24"/>
        </w:rPr>
        <w:t>措施工程量汇总表</w:t>
      </w:r>
    </w:p>
    <w:tbl>
      <w:tblPr>
        <w:tblStyle w:val="24"/>
        <w:tblW w:w="86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56"/>
        <w:gridCol w:w="2609"/>
        <w:gridCol w:w="1750"/>
        <w:gridCol w:w="1740"/>
        <w:gridCol w:w="17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65" w:hRule="atLeast"/>
          <w:jc w:val="center"/>
        </w:trPr>
        <w:tc>
          <w:tcPr>
            <w:tcW w:w="85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2609"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1750"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740"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数 量</w:t>
            </w:r>
          </w:p>
        </w:tc>
        <w:tc>
          <w:tcPr>
            <w:tcW w:w="1705"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65" w:hRule="atLeast"/>
          <w:jc w:val="center"/>
        </w:trPr>
        <w:tc>
          <w:tcPr>
            <w:tcW w:w="3465" w:type="dxa"/>
            <w:gridSpan w:val="2"/>
            <w:tcBorders>
              <w:tl2br w:val="nil"/>
              <w:tr2bl w:val="nil"/>
            </w:tcBorders>
            <w:noWrap w:val="0"/>
            <w:vAlign w:val="center"/>
          </w:tcPr>
          <w:p>
            <w:pPr>
              <w:spacing w:line="240" w:lineRule="exact"/>
              <w:jc w:val="center"/>
              <w:rPr>
                <w:rFonts w:hint="default" w:ascii="Times New Roman" w:hAnsi="Times New Roman" w:eastAsia="仿宋_GB2312"/>
                <w:b/>
                <w:bCs/>
                <w:szCs w:val="21"/>
                <w:lang w:val="en-US" w:eastAsia="zh-CN"/>
              </w:rPr>
            </w:pPr>
            <w:r>
              <w:rPr>
                <w:rFonts w:hint="default" w:ascii="Times New Roman" w:hAnsi="Times New Roman" w:eastAsia="仿宋_GB2312"/>
                <w:b/>
                <w:bCs/>
                <w:szCs w:val="21"/>
                <w:lang w:val="en-US" w:eastAsia="zh-CN"/>
              </w:rPr>
              <w:t>第</w:t>
            </w:r>
            <w:r>
              <w:rPr>
                <w:rFonts w:hint="eastAsia" w:ascii="Times New Roman" w:hAnsi="Times New Roman" w:eastAsia="仿宋_GB2312"/>
                <w:b/>
                <w:bCs/>
                <w:szCs w:val="21"/>
                <w:lang w:val="en-US" w:eastAsia="zh-CN"/>
              </w:rPr>
              <w:t>三</w:t>
            </w:r>
            <w:r>
              <w:rPr>
                <w:rFonts w:hint="default" w:ascii="Times New Roman" w:hAnsi="Times New Roman" w:eastAsia="仿宋_GB2312"/>
                <w:b/>
                <w:bCs/>
                <w:szCs w:val="21"/>
                <w:lang w:val="en-US" w:eastAsia="zh-CN"/>
              </w:rPr>
              <w:t xml:space="preserve">部分 </w:t>
            </w:r>
            <w:r>
              <w:rPr>
                <w:rFonts w:hint="eastAsia" w:ascii="Times New Roman" w:hAnsi="Times New Roman" w:eastAsia="仿宋_GB2312"/>
                <w:b/>
                <w:bCs/>
                <w:szCs w:val="21"/>
                <w:lang w:val="en-US" w:eastAsia="zh-CN"/>
              </w:rPr>
              <w:t>临时</w:t>
            </w:r>
            <w:r>
              <w:rPr>
                <w:rFonts w:hint="default" w:ascii="Times New Roman" w:hAnsi="Times New Roman" w:eastAsia="仿宋_GB2312"/>
                <w:b/>
                <w:bCs/>
                <w:szCs w:val="21"/>
                <w:lang w:val="en-US" w:eastAsia="zh-CN"/>
              </w:rPr>
              <w:t>措施</w:t>
            </w:r>
          </w:p>
        </w:tc>
        <w:tc>
          <w:tcPr>
            <w:tcW w:w="1750" w:type="dxa"/>
            <w:tcBorders>
              <w:tl2br w:val="nil"/>
              <w:tr2bl w:val="nil"/>
            </w:tcBorders>
            <w:noWrap w:val="0"/>
            <w:vAlign w:val="center"/>
          </w:tcPr>
          <w:p>
            <w:pPr>
              <w:adjustRightInd w:val="0"/>
              <w:snapToGrid w:val="0"/>
              <w:ind w:left="-120" w:leftChars="-50" w:right="-120" w:rightChars="-50"/>
              <w:jc w:val="center"/>
              <w:rPr>
                <w:rFonts w:hint="default" w:ascii="宋体" w:hAnsi="宋体" w:eastAsia="宋体"/>
                <w:color w:val="auto"/>
                <w:sz w:val="21"/>
                <w:szCs w:val="21"/>
                <w:lang w:val="en-US" w:eastAsia="zh-CN"/>
              </w:rPr>
            </w:pPr>
          </w:p>
        </w:tc>
        <w:tc>
          <w:tcPr>
            <w:tcW w:w="1740" w:type="dxa"/>
            <w:tcBorders>
              <w:tl2br w:val="nil"/>
              <w:tr2bl w:val="nil"/>
            </w:tcBorders>
            <w:noWrap w:val="0"/>
            <w:vAlign w:val="center"/>
          </w:tcPr>
          <w:p>
            <w:pPr>
              <w:adjustRightInd w:val="0"/>
              <w:snapToGrid w:val="0"/>
              <w:ind w:left="-120" w:leftChars="-50" w:right="-120" w:rightChars="-50"/>
              <w:jc w:val="center"/>
              <w:rPr>
                <w:rFonts w:hint="default" w:ascii="宋体" w:hAnsi="宋体" w:eastAsia="宋体"/>
                <w:color w:val="auto"/>
                <w:sz w:val="21"/>
                <w:szCs w:val="21"/>
                <w:lang w:val="en-US" w:eastAsia="zh-CN"/>
              </w:rPr>
            </w:pPr>
          </w:p>
        </w:tc>
        <w:tc>
          <w:tcPr>
            <w:tcW w:w="1705" w:type="dxa"/>
            <w:tcBorders>
              <w:tl2br w:val="nil"/>
              <w:tr2bl w:val="nil"/>
            </w:tcBorders>
            <w:noWrap w:val="0"/>
            <w:vAlign w:val="center"/>
          </w:tcPr>
          <w:p>
            <w:pPr>
              <w:adjustRightInd w:val="0"/>
              <w:snapToGrid w:val="0"/>
              <w:ind w:left="-120" w:leftChars="-50" w:right="-120" w:rightChars="-50"/>
              <w:jc w:val="center"/>
              <w:rPr>
                <w:rFonts w:hint="default" w:ascii="宋体" w:hAnsi="宋体" w:eastAsia="宋体"/>
                <w:color w:val="auto"/>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65" w:hRule="atLeast"/>
          <w:jc w:val="center"/>
        </w:trPr>
        <w:tc>
          <w:tcPr>
            <w:tcW w:w="856"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2609"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750"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740"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705"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856"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2609" w:type="dxa"/>
            <w:tcBorders>
              <w:tl2br w:val="nil"/>
              <w:tr2bl w:val="nil"/>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临时防护</w:t>
            </w:r>
          </w:p>
        </w:tc>
        <w:tc>
          <w:tcPr>
            <w:tcW w:w="1750" w:type="dxa"/>
            <w:tcBorders>
              <w:tl2br w:val="nil"/>
              <w:tr2bl w:val="nil"/>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m</w:t>
            </w:r>
            <w:r>
              <w:rPr>
                <w:rFonts w:hint="eastAsia" w:ascii="仿宋_GB2312" w:hAnsi="宋体" w:eastAsia="仿宋_GB2312" w:cs="仿宋_GB2312"/>
                <w:i w:val="0"/>
                <w:color w:val="000000"/>
                <w:kern w:val="0"/>
                <w:sz w:val="21"/>
                <w:szCs w:val="21"/>
                <w:u w:val="none"/>
                <w:vertAlign w:val="superscript"/>
                <w:lang w:val="en-US" w:eastAsia="zh-CN" w:bidi="ar"/>
              </w:rPr>
              <w:t>2</w:t>
            </w:r>
          </w:p>
        </w:tc>
        <w:tc>
          <w:tcPr>
            <w:tcW w:w="1740"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650</w:t>
            </w:r>
          </w:p>
        </w:tc>
        <w:tc>
          <w:tcPr>
            <w:tcW w:w="1705" w:type="dxa"/>
            <w:tcBorders>
              <w:tl2br w:val="nil"/>
              <w:tr2bl w:val="nil"/>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方案新增</w:t>
            </w:r>
          </w:p>
        </w:tc>
      </w:tr>
    </w:tbl>
    <w:p>
      <w:pPr>
        <w:pStyle w:val="37"/>
      </w:pPr>
      <w:bookmarkStart w:id="33" w:name="_Toc1117827"/>
      <w:bookmarkStart w:id="34" w:name="_Toc501443575"/>
      <w:bookmarkStart w:id="35" w:name="_Toc510511020"/>
      <w:r>
        <w:rPr>
          <w:rFonts w:hint="eastAsia"/>
        </w:rPr>
        <w:t>8</w:t>
      </w:r>
      <w:r>
        <w:t xml:space="preserve"> 水土保持投资</w:t>
      </w:r>
      <w:bookmarkEnd w:id="33"/>
      <w:bookmarkEnd w:id="34"/>
      <w:bookmarkEnd w:id="35"/>
    </w:p>
    <w:p>
      <w:pPr>
        <w:pStyle w:val="43"/>
        <w:ind w:firstLine="480"/>
        <w:rPr>
          <w:rFonts w:hint="eastAsia"/>
          <w:snapToGrid w:val="0"/>
          <w:kern w:val="0"/>
        </w:rPr>
      </w:pPr>
      <w:r>
        <w:rPr>
          <w:rFonts w:hint="eastAsia"/>
          <w:snapToGrid w:val="0"/>
          <w:kern w:val="0"/>
          <w:lang w:val="en-US" w:eastAsia="zh-CN"/>
        </w:rPr>
        <w:t>1、</w:t>
      </w:r>
      <w:r>
        <w:rPr>
          <w:rFonts w:hint="eastAsia"/>
          <w:snapToGrid w:val="0"/>
          <w:kern w:val="0"/>
        </w:rPr>
        <w:t>本方案费用构成如下：工程措施费、植物措施费、临时工程费、独立费用和基本预备费。另外，还有属于行政性收费项目的水土保持补偿费。</w:t>
      </w:r>
    </w:p>
    <w:p>
      <w:pPr>
        <w:pStyle w:val="43"/>
        <w:ind w:firstLine="480"/>
        <w:rPr>
          <w:rFonts w:hint="eastAsia"/>
          <w:snapToGrid w:val="0"/>
          <w:kern w:val="0"/>
        </w:rPr>
      </w:pPr>
      <w:r>
        <w:rPr>
          <w:rFonts w:hint="eastAsia"/>
          <w:snapToGrid w:val="0"/>
          <w:kern w:val="0"/>
        </w:rPr>
        <w:t>（1）工程措施费</w:t>
      </w:r>
    </w:p>
    <w:p>
      <w:pPr>
        <w:pStyle w:val="43"/>
        <w:ind w:firstLine="480"/>
        <w:rPr>
          <w:rFonts w:hint="eastAsia"/>
          <w:snapToGrid w:val="0"/>
          <w:kern w:val="0"/>
        </w:rPr>
      </w:pPr>
      <w:r>
        <w:rPr>
          <w:rFonts w:hint="eastAsia"/>
          <w:snapToGrid w:val="0"/>
          <w:kern w:val="0"/>
        </w:rPr>
        <w:t>工程措施费按设计工程量乘以工程单价进行编制。</w:t>
      </w:r>
    </w:p>
    <w:p>
      <w:pPr>
        <w:pStyle w:val="43"/>
        <w:ind w:firstLine="480"/>
        <w:rPr>
          <w:rFonts w:hint="eastAsia"/>
          <w:snapToGrid w:val="0"/>
          <w:kern w:val="0"/>
        </w:rPr>
      </w:pPr>
      <w:r>
        <w:rPr>
          <w:rFonts w:hint="eastAsia"/>
          <w:snapToGrid w:val="0"/>
          <w:kern w:val="0"/>
        </w:rPr>
        <w:t>（2）植物措施费</w:t>
      </w:r>
    </w:p>
    <w:p>
      <w:pPr>
        <w:pStyle w:val="43"/>
        <w:ind w:firstLine="480"/>
        <w:rPr>
          <w:rFonts w:hint="eastAsia"/>
          <w:snapToGrid w:val="0"/>
          <w:kern w:val="0"/>
        </w:rPr>
      </w:pPr>
      <w:r>
        <w:rPr>
          <w:rFonts w:hint="eastAsia"/>
          <w:snapToGrid w:val="0"/>
          <w:kern w:val="0"/>
        </w:rPr>
        <w:t>植物措施费由整地费和苗木、草、种子等材料费及种植费组成。</w:t>
      </w:r>
    </w:p>
    <w:p>
      <w:pPr>
        <w:pStyle w:val="43"/>
        <w:ind w:firstLine="480"/>
        <w:rPr>
          <w:rFonts w:hint="eastAsia"/>
          <w:snapToGrid w:val="0"/>
          <w:kern w:val="0"/>
        </w:rPr>
      </w:pPr>
      <w:r>
        <w:rPr>
          <w:rFonts w:hint="eastAsia"/>
          <w:snapToGrid w:val="0"/>
          <w:kern w:val="0"/>
        </w:rPr>
        <w:t>1）植物措施材料费由苗木、草、种子的预算价格乘数量进行编制。</w:t>
      </w:r>
    </w:p>
    <w:p>
      <w:pPr>
        <w:pStyle w:val="43"/>
        <w:ind w:firstLine="480"/>
        <w:rPr>
          <w:rFonts w:hint="eastAsia"/>
          <w:snapToGrid w:val="0"/>
          <w:kern w:val="0"/>
        </w:rPr>
      </w:pPr>
      <w:r>
        <w:rPr>
          <w:rFonts w:hint="eastAsia"/>
          <w:snapToGrid w:val="0"/>
          <w:kern w:val="0"/>
        </w:rPr>
        <w:t>2）整地、栽（种）植费按《水土保持工程概算定额》进行编制。</w:t>
      </w:r>
    </w:p>
    <w:p>
      <w:pPr>
        <w:pStyle w:val="43"/>
        <w:ind w:firstLine="480"/>
        <w:rPr>
          <w:rFonts w:hint="eastAsia"/>
          <w:snapToGrid w:val="0"/>
          <w:kern w:val="0"/>
        </w:rPr>
      </w:pPr>
      <w:r>
        <w:rPr>
          <w:rFonts w:hint="eastAsia"/>
          <w:snapToGrid w:val="0"/>
          <w:kern w:val="0"/>
        </w:rPr>
        <w:t>（3）临时工程费</w:t>
      </w:r>
    </w:p>
    <w:p>
      <w:pPr>
        <w:pStyle w:val="43"/>
        <w:ind w:firstLine="480"/>
        <w:rPr>
          <w:rFonts w:hint="eastAsia"/>
          <w:snapToGrid w:val="0"/>
          <w:kern w:val="0"/>
        </w:rPr>
      </w:pPr>
      <w:r>
        <w:rPr>
          <w:rFonts w:hint="eastAsia"/>
          <w:snapToGrid w:val="0"/>
          <w:kern w:val="0"/>
        </w:rPr>
        <w:t>1）临时防护工程</w:t>
      </w:r>
    </w:p>
    <w:p>
      <w:pPr>
        <w:pStyle w:val="43"/>
        <w:ind w:firstLine="480"/>
        <w:rPr>
          <w:rFonts w:hint="eastAsia"/>
          <w:snapToGrid w:val="0"/>
          <w:kern w:val="0"/>
        </w:rPr>
      </w:pPr>
      <w:r>
        <w:rPr>
          <w:rFonts w:hint="eastAsia"/>
          <w:snapToGrid w:val="0"/>
          <w:kern w:val="0"/>
        </w:rPr>
        <w:t>按设计方案的工程量乘以单价编制。</w:t>
      </w:r>
    </w:p>
    <w:p>
      <w:pPr>
        <w:pStyle w:val="43"/>
        <w:ind w:firstLine="480"/>
        <w:rPr>
          <w:rFonts w:hint="eastAsia"/>
          <w:snapToGrid w:val="0"/>
          <w:kern w:val="0"/>
        </w:rPr>
      </w:pPr>
      <w:r>
        <w:rPr>
          <w:rFonts w:hint="eastAsia"/>
          <w:snapToGrid w:val="0"/>
          <w:kern w:val="0"/>
        </w:rPr>
        <w:t>2）其它临时工程</w:t>
      </w:r>
    </w:p>
    <w:p>
      <w:pPr>
        <w:pStyle w:val="43"/>
        <w:ind w:firstLine="480"/>
        <w:rPr>
          <w:rFonts w:hint="eastAsia"/>
          <w:snapToGrid w:val="0"/>
          <w:kern w:val="0"/>
        </w:rPr>
      </w:pPr>
      <w:r>
        <w:rPr>
          <w:rFonts w:hint="eastAsia"/>
          <w:snapToGrid w:val="0"/>
          <w:kern w:val="0"/>
        </w:rPr>
        <w:t>按第一部分工程措施和第二部分植物措施投资的2%编制。</w:t>
      </w:r>
    </w:p>
    <w:p>
      <w:pPr>
        <w:pStyle w:val="43"/>
        <w:ind w:firstLine="480"/>
        <w:rPr>
          <w:rFonts w:hint="eastAsia"/>
          <w:snapToGrid w:val="0"/>
          <w:kern w:val="0"/>
        </w:rPr>
      </w:pPr>
      <w:r>
        <w:rPr>
          <w:rFonts w:hint="eastAsia"/>
          <w:snapToGrid w:val="0"/>
          <w:kern w:val="0"/>
        </w:rPr>
        <w:t>（4）独立费用</w:t>
      </w:r>
    </w:p>
    <w:p>
      <w:pPr>
        <w:pStyle w:val="43"/>
        <w:ind w:firstLine="480"/>
        <w:rPr>
          <w:rFonts w:hint="eastAsia"/>
          <w:snapToGrid w:val="0"/>
          <w:kern w:val="0"/>
        </w:rPr>
      </w:pPr>
      <w:r>
        <w:rPr>
          <w:rFonts w:hint="eastAsia"/>
          <w:snapToGrid w:val="0"/>
          <w:kern w:val="0"/>
        </w:rPr>
        <w:t>1）建设管理费：按第一至三部分之和的2%计算，应满足水土保持专项验收和评估的需要，不足部分从预备费中支出。</w:t>
      </w:r>
    </w:p>
    <w:p>
      <w:pPr>
        <w:pStyle w:val="43"/>
        <w:ind w:firstLine="480"/>
        <w:rPr>
          <w:rFonts w:hint="eastAsia"/>
          <w:snapToGrid w:val="0"/>
          <w:kern w:val="0"/>
        </w:rPr>
      </w:pPr>
      <w:r>
        <w:rPr>
          <w:rFonts w:hint="eastAsia"/>
          <w:snapToGrid w:val="0"/>
          <w:kern w:val="0"/>
        </w:rPr>
        <w:t>2）勘察设计费：按照《工程勘察设计收费管理规定》（国家计委、建设部 计价格[2002]10号）计算。</w:t>
      </w:r>
    </w:p>
    <w:p>
      <w:pPr>
        <w:pStyle w:val="43"/>
        <w:ind w:firstLine="480"/>
        <w:rPr>
          <w:rFonts w:hint="eastAsia"/>
          <w:snapToGrid w:val="0"/>
          <w:kern w:val="0"/>
        </w:rPr>
      </w:pPr>
      <w:r>
        <w:rPr>
          <w:rFonts w:hint="eastAsia"/>
          <w:snapToGrid w:val="0"/>
          <w:kern w:val="0"/>
        </w:rPr>
        <w:t>3）工程建设监理费：参考国家发改委、建设部发改价格[2007]670号，结合工程实际，监理费取4万元。</w:t>
      </w:r>
    </w:p>
    <w:p>
      <w:pPr>
        <w:pStyle w:val="43"/>
        <w:ind w:firstLine="480"/>
        <w:rPr>
          <w:rFonts w:hint="eastAsia"/>
          <w:snapToGrid w:val="0"/>
          <w:kern w:val="0"/>
        </w:rPr>
      </w:pPr>
      <w:r>
        <w:rPr>
          <w:rFonts w:hint="eastAsia"/>
          <w:snapToGrid w:val="0"/>
          <w:kern w:val="0"/>
          <w:lang w:val="en-US" w:eastAsia="zh-CN"/>
        </w:rPr>
        <w:t>4</w:t>
      </w:r>
      <w:r>
        <w:rPr>
          <w:rFonts w:hint="eastAsia"/>
          <w:snapToGrid w:val="0"/>
          <w:kern w:val="0"/>
        </w:rPr>
        <w:t>）水土保持设施验报告编制费：参照市场行情，水土保持设施验报告编制费考虑为</w:t>
      </w:r>
      <w:r>
        <w:rPr>
          <w:rFonts w:hint="eastAsia"/>
          <w:snapToGrid w:val="0"/>
          <w:kern w:val="0"/>
          <w:lang w:val="en-US" w:eastAsia="zh-CN"/>
        </w:rPr>
        <w:t>7</w:t>
      </w:r>
      <w:r>
        <w:rPr>
          <w:rFonts w:hint="eastAsia"/>
          <w:snapToGrid w:val="0"/>
          <w:kern w:val="0"/>
        </w:rPr>
        <w:t>万元。</w:t>
      </w:r>
    </w:p>
    <w:p>
      <w:pPr>
        <w:pStyle w:val="43"/>
        <w:ind w:firstLine="480"/>
        <w:rPr>
          <w:rFonts w:hint="eastAsia"/>
          <w:snapToGrid w:val="0"/>
          <w:kern w:val="0"/>
        </w:rPr>
      </w:pPr>
      <w:r>
        <w:rPr>
          <w:rFonts w:hint="eastAsia"/>
          <w:snapToGrid w:val="0"/>
          <w:kern w:val="0"/>
        </w:rPr>
        <w:t>（5）基本预备费</w:t>
      </w:r>
    </w:p>
    <w:p>
      <w:pPr>
        <w:pStyle w:val="43"/>
        <w:ind w:firstLine="480"/>
        <w:rPr>
          <w:rFonts w:hint="eastAsia"/>
          <w:snapToGrid w:val="0"/>
          <w:kern w:val="0"/>
        </w:rPr>
      </w:pPr>
      <w:r>
        <w:rPr>
          <w:rFonts w:hint="eastAsia"/>
          <w:snapToGrid w:val="0"/>
          <w:kern w:val="0"/>
        </w:rPr>
        <w:t>基本预备费按工程措施、植物措施、施工临时工程、独立费用之和的3%计算。价差预备费按晋计设字（1999）608号“关于转发《国家计委关于加强对基本建设大中型项目估算中“价差预备费”管理有关问题的通知》的通知”投资价格指数一律按零计算。</w:t>
      </w:r>
    </w:p>
    <w:p>
      <w:pPr>
        <w:pStyle w:val="43"/>
        <w:ind w:firstLine="480"/>
        <w:rPr>
          <w:rFonts w:hint="eastAsia"/>
          <w:snapToGrid w:val="0"/>
          <w:kern w:val="0"/>
        </w:rPr>
      </w:pPr>
      <w:r>
        <w:rPr>
          <w:rFonts w:hint="eastAsia"/>
          <w:snapToGrid w:val="0"/>
          <w:kern w:val="0"/>
        </w:rPr>
        <w:t>（6）水土保持补偿费</w:t>
      </w:r>
    </w:p>
    <w:p>
      <w:pPr>
        <w:pStyle w:val="43"/>
        <w:ind w:firstLine="480"/>
        <w:rPr>
          <w:rFonts w:hint="eastAsia"/>
          <w:snapToGrid w:val="0"/>
          <w:kern w:val="0"/>
        </w:rPr>
      </w:pPr>
      <w:r>
        <w:rPr>
          <w:rFonts w:hint="eastAsia"/>
          <w:snapToGrid w:val="0"/>
          <w:kern w:val="0"/>
        </w:rPr>
        <w:t>根据山西省发展和改革委员会、山西省财政厅、山西省水利厅文件《关于水土保持补偿费收费标准的通知》（晋发改价格发[2018]464号）规定，本项目按照征占用土地面积一次性计征，每平方米0.4元（不足1平方米的按1平方米计）。该项目占地面积</w:t>
      </w:r>
      <w:r>
        <w:rPr>
          <w:rFonts w:hint="eastAsia"/>
          <w:snapToGrid w:val="0"/>
          <w:kern w:val="0"/>
          <w:lang w:val="en-US" w:eastAsia="zh-CN"/>
        </w:rPr>
        <w:t>3.28</w:t>
      </w:r>
      <w:r>
        <w:rPr>
          <w:rFonts w:hint="eastAsia"/>
          <w:snapToGrid w:val="0"/>
          <w:kern w:val="0"/>
        </w:rPr>
        <w:t>hm</w:t>
      </w:r>
      <w:r>
        <w:rPr>
          <w:rFonts w:hint="eastAsia"/>
          <w:snapToGrid w:val="0"/>
          <w:kern w:val="0"/>
          <w:vertAlign w:val="superscript"/>
        </w:rPr>
        <w:t>2</w:t>
      </w:r>
      <w:r>
        <w:rPr>
          <w:rFonts w:hint="eastAsia"/>
          <w:snapToGrid w:val="0"/>
          <w:kern w:val="0"/>
        </w:rPr>
        <w:t>，水土保持补偿费</w:t>
      </w:r>
      <w:r>
        <w:rPr>
          <w:rFonts w:hint="eastAsia"/>
          <w:snapToGrid w:val="0"/>
          <w:kern w:val="0"/>
          <w:lang w:val="en-US" w:eastAsia="zh-CN"/>
        </w:rPr>
        <w:t>1.32</w:t>
      </w:r>
      <w:r>
        <w:rPr>
          <w:rFonts w:hint="eastAsia"/>
          <w:snapToGrid w:val="0"/>
          <w:kern w:val="0"/>
        </w:rPr>
        <w:t>万元。</w:t>
      </w:r>
    </w:p>
    <w:p>
      <w:pPr>
        <w:pStyle w:val="43"/>
        <w:ind w:firstLine="480"/>
        <w:rPr>
          <w:rFonts w:hint="eastAsia"/>
          <w:snapToGrid w:val="0"/>
          <w:kern w:val="0"/>
        </w:rPr>
      </w:pPr>
      <w:r>
        <w:rPr>
          <w:rFonts w:hint="eastAsia"/>
          <w:snapToGrid w:val="0"/>
          <w:kern w:val="0"/>
        </w:rPr>
        <w:t>项目水土保持总投资</w:t>
      </w:r>
      <w:r>
        <w:rPr>
          <w:rFonts w:hint="eastAsia"/>
          <w:snapToGrid w:val="0"/>
          <w:kern w:val="0"/>
          <w:lang w:val="en-US" w:eastAsia="zh-CN"/>
        </w:rPr>
        <w:t>28.13</w:t>
      </w:r>
      <w:r>
        <w:rPr>
          <w:rFonts w:hint="eastAsia"/>
          <w:snapToGrid w:val="0"/>
          <w:kern w:val="0"/>
        </w:rPr>
        <w:t>万元。总投资中工程措施费</w:t>
      </w:r>
      <w:r>
        <w:rPr>
          <w:rFonts w:hint="eastAsia"/>
          <w:snapToGrid w:val="0"/>
          <w:kern w:val="0"/>
          <w:lang w:val="en-US" w:eastAsia="zh-CN"/>
        </w:rPr>
        <w:t>11.63</w:t>
      </w:r>
      <w:r>
        <w:rPr>
          <w:rFonts w:hint="eastAsia"/>
          <w:snapToGrid w:val="0"/>
          <w:kern w:val="0"/>
        </w:rPr>
        <w:t>万元、植物措施费</w:t>
      </w:r>
      <w:r>
        <w:rPr>
          <w:rFonts w:hint="eastAsia"/>
          <w:snapToGrid w:val="0"/>
          <w:kern w:val="0"/>
          <w:lang w:val="en-US" w:eastAsia="zh-CN"/>
        </w:rPr>
        <w:t>1.43</w:t>
      </w:r>
      <w:r>
        <w:rPr>
          <w:rFonts w:hint="eastAsia"/>
          <w:snapToGrid w:val="0"/>
          <w:kern w:val="0"/>
        </w:rPr>
        <w:t>万元、</w:t>
      </w:r>
      <w:r>
        <w:rPr>
          <w:rFonts w:hint="eastAsia"/>
          <w:snapToGrid w:val="0"/>
          <w:kern w:val="0"/>
          <w:lang w:eastAsia="zh-CN"/>
        </w:rPr>
        <w:t>临时措施费</w:t>
      </w:r>
      <w:r>
        <w:rPr>
          <w:rFonts w:hint="eastAsia"/>
          <w:snapToGrid w:val="0"/>
          <w:kern w:val="0"/>
          <w:lang w:val="en-US" w:eastAsia="zh-CN"/>
        </w:rPr>
        <w:t>1.68万元、</w:t>
      </w:r>
      <w:r>
        <w:rPr>
          <w:rFonts w:hint="eastAsia"/>
          <w:snapToGrid w:val="0"/>
          <w:kern w:val="0"/>
        </w:rPr>
        <w:t>独立费用</w:t>
      </w:r>
      <w:r>
        <w:rPr>
          <w:rFonts w:hint="eastAsia"/>
          <w:snapToGrid w:val="0"/>
          <w:kern w:val="0"/>
          <w:lang w:val="en-US" w:eastAsia="zh-CN"/>
        </w:rPr>
        <w:t>11.29</w:t>
      </w:r>
      <w:r>
        <w:rPr>
          <w:rFonts w:hint="eastAsia"/>
          <w:snapToGrid w:val="0"/>
          <w:kern w:val="0"/>
        </w:rPr>
        <w:t>万元（其中监理费 4.00 万元）、基本预备费</w:t>
      </w:r>
      <w:r>
        <w:rPr>
          <w:rFonts w:hint="eastAsia"/>
          <w:snapToGrid w:val="0"/>
          <w:kern w:val="0"/>
          <w:lang w:val="en-US" w:eastAsia="zh-CN"/>
        </w:rPr>
        <w:t>0.78</w:t>
      </w:r>
      <w:r>
        <w:rPr>
          <w:rFonts w:hint="eastAsia"/>
          <w:snapToGrid w:val="0"/>
          <w:kern w:val="0"/>
        </w:rPr>
        <w:t>万元、水土保持补偿费</w:t>
      </w:r>
      <w:r>
        <w:rPr>
          <w:rFonts w:hint="eastAsia"/>
          <w:snapToGrid w:val="0"/>
          <w:kern w:val="0"/>
          <w:lang w:val="en-US" w:eastAsia="zh-CN"/>
        </w:rPr>
        <w:t>1.32</w:t>
      </w:r>
      <w:r>
        <w:rPr>
          <w:rFonts w:hint="eastAsia"/>
          <w:snapToGrid w:val="0"/>
          <w:kern w:val="0"/>
        </w:rPr>
        <w:t>万元。</w:t>
      </w:r>
      <w:r>
        <w:rPr>
          <w:snapToGrid w:val="0"/>
          <w:kern w:val="0"/>
        </w:rPr>
        <w:t>水土</w:t>
      </w:r>
      <w:r>
        <w:rPr>
          <w:rFonts w:hint="eastAsia"/>
          <w:snapToGrid w:val="0"/>
          <w:kern w:val="0"/>
        </w:rPr>
        <w:t>保持</w:t>
      </w:r>
      <w:r>
        <w:rPr>
          <w:snapToGrid w:val="0"/>
          <w:kern w:val="0"/>
        </w:rPr>
        <w:t>工程投资概算详见表</w:t>
      </w:r>
      <w:r>
        <w:rPr>
          <w:rFonts w:hint="eastAsia"/>
          <w:snapToGrid w:val="0"/>
          <w:kern w:val="0"/>
        </w:rPr>
        <w:t>8-1</w:t>
      </w:r>
      <w:r>
        <w:rPr>
          <w:rFonts w:hint="eastAsia"/>
          <w:snapToGrid w:val="0"/>
          <w:kern w:val="0"/>
          <w:lang w:eastAsia="zh-CN"/>
        </w:rPr>
        <w:t>至</w:t>
      </w:r>
      <w:r>
        <w:rPr>
          <w:rFonts w:hint="eastAsia"/>
          <w:snapToGrid w:val="0"/>
          <w:kern w:val="0"/>
          <w:lang w:val="en-US" w:eastAsia="zh-CN"/>
        </w:rPr>
        <w:t>8-5</w:t>
      </w:r>
      <w:r>
        <w:rPr>
          <w:rFonts w:hint="eastAsia"/>
          <w:snapToGrid w:val="0"/>
          <w:kern w:val="0"/>
        </w:rPr>
        <w:t>。</w:t>
      </w:r>
    </w:p>
    <w:p>
      <w:pPr>
        <w:rPr>
          <w:rFonts w:ascii="Times New Roman" w:hAnsi="Times New Roman" w:eastAsia="仿宋_GB2312"/>
          <w:b/>
          <w:sz w:val="24"/>
        </w:rPr>
      </w:pPr>
      <w:r>
        <w:rPr>
          <w:rFonts w:ascii="Times New Roman" w:hAnsi="Times New Roman" w:eastAsia="仿宋_GB2312"/>
          <w:b/>
          <w:sz w:val="24"/>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-1  水土保持工程投资概算总表          单位：万元</w:t>
      </w:r>
    </w:p>
    <w:tbl>
      <w:tblPr>
        <w:tblStyle w:val="24"/>
        <w:tblW w:w="9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51"/>
        <w:gridCol w:w="1867"/>
        <w:gridCol w:w="728"/>
        <w:gridCol w:w="1037"/>
        <w:gridCol w:w="1080"/>
        <w:gridCol w:w="964"/>
        <w:gridCol w:w="964"/>
        <w:gridCol w:w="964"/>
        <w:gridCol w:w="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建、安工程费</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植物措施费</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独立费用</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合计</w:t>
            </w:r>
            <w:r>
              <w:rPr>
                <w:rFonts w:hint="eastAsia" w:ascii="仿宋_GB2312" w:hAnsi="宋体" w:eastAsia="仿宋_GB2312" w:cs="仿宋_GB2312"/>
                <w:i w:val="0"/>
                <w:color w:val="000000"/>
                <w:kern w:val="0"/>
                <w:sz w:val="21"/>
                <w:szCs w:val="21"/>
                <w:u w:val="none"/>
                <w:lang w:val="en-US" w:eastAsia="zh-CN" w:bidi="ar"/>
              </w:rPr>
              <w:t>（万元）</w:t>
            </w:r>
          </w:p>
        </w:tc>
        <w:tc>
          <w:tcPr>
            <w:tcW w:w="19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 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w:t>
            </w:r>
            <w:r>
              <w:rPr>
                <w:rStyle w:val="205"/>
                <w:rFonts w:hAnsi="宋体"/>
                <w:lang w:val="en-US" w:eastAsia="zh-CN" w:bidi="ar"/>
              </w:rPr>
              <w:t>（种） 植费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苗木、草种子费</w:t>
            </w: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9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 工程措施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bCs/>
                <w:i w:val="0"/>
                <w:color w:val="000000"/>
                <w:kern w:val="0"/>
                <w:sz w:val="22"/>
                <w:szCs w:val="22"/>
                <w:u w:val="none"/>
                <w:lang w:val="en-US" w:eastAsia="zh-CN" w:bidi="ar"/>
              </w:rPr>
              <w:t>11.63</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bCs/>
                <w:i w:val="0"/>
                <w:color w:val="000000"/>
                <w:kern w:val="0"/>
                <w:sz w:val="22"/>
                <w:szCs w:val="22"/>
                <w:u w:val="none"/>
                <w:lang w:val="en-US" w:eastAsia="zh-CN" w:bidi="ar"/>
              </w:rPr>
              <w:t>11.63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lang w:val="en-US"/>
              </w:rPr>
            </w:pPr>
            <w:r>
              <w:rPr>
                <w:rFonts w:hint="eastAsia" w:eastAsia="宋体" w:cs="Times New Roman"/>
                <w:b/>
                <w:bCs/>
                <w:i w:val="0"/>
                <w:color w:val="000000"/>
                <w:kern w:val="0"/>
                <w:sz w:val="22"/>
                <w:szCs w:val="22"/>
                <w:u w:val="none"/>
                <w:lang w:val="en-US" w:eastAsia="zh-CN" w:bidi="ar"/>
              </w:rPr>
              <w:t>2.6</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9.03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color w:val="000000"/>
                <w:sz w:val="21"/>
                <w:szCs w:val="21"/>
                <w:u w:val="none"/>
                <w:lang w:val="en-US"/>
              </w:rPr>
            </w:pPr>
            <w:r>
              <w:rPr>
                <w:rFonts w:hint="eastAsia" w:eastAsia="宋体" w:cs="Times New Roman"/>
                <w:b w:val="0"/>
                <w:bCs w:val="0"/>
                <w:i w:val="0"/>
                <w:color w:val="000000"/>
                <w:kern w:val="0"/>
                <w:sz w:val="22"/>
                <w:szCs w:val="22"/>
                <w:u w:val="none"/>
                <w:lang w:val="en-US" w:eastAsia="zh-CN" w:bidi="ar"/>
              </w:rPr>
              <w:t>11.42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b w:val="0"/>
                <w:bCs w:val="0"/>
                <w:i w:val="0"/>
                <w:color w:val="000000"/>
                <w:kern w:val="0"/>
                <w:sz w:val="22"/>
                <w:szCs w:val="22"/>
                <w:u w:val="none"/>
                <w:lang w:val="en-US" w:eastAsia="zh-CN" w:bidi="ar"/>
              </w:rPr>
              <w:t>11.42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lang w:val="en-US"/>
              </w:rPr>
            </w:pPr>
            <w:r>
              <w:rPr>
                <w:rFonts w:hint="eastAsia" w:eastAsia="宋体" w:cs="Times New Roman"/>
                <w:b w:val="0"/>
                <w:bCs w:val="0"/>
                <w:i w:val="0"/>
                <w:color w:val="000000"/>
                <w:kern w:val="0"/>
                <w:sz w:val="22"/>
                <w:szCs w:val="22"/>
                <w:u w:val="none"/>
                <w:lang w:val="en-US" w:eastAsia="zh-CN" w:bidi="ar"/>
              </w:rPr>
              <w:t>2.6</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b w:val="0"/>
                <w:bCs/>
                <w:i w:val="0"/>
                <w:color w:val="000000"/>
                <w:kern w:val="0"/>
                <w:sz w:val="21"/>
                <w:szCs w:val="21"/>
                <w:u w:val="none"/>
                <w:lang w:val="en-US" w:eastAsia="zh-CN" w:bidi="ar"/>
              </w:rPr>
              <w:t>进场道路防治区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val="0"/>
                <w:i w:val="0"/>
                <w:color w:val="000000"/>
                <w:kern w:val="0"/>
                <w:sz w:val="22"/>
                <w:szCs w:val="22"/>
                <w:u w:val="none"/>
                <w:lang w:val="en-US" w:eastAsia="zh-CN" w:bidi="ar"/>
              </w:rPr>
            </w:pPr>
            <w:r>
              <w:rPr>
                <w:rFonts w:hint="eastAsia" w:eastAsia="宋体" w:cs="Times New Roman"/>
                <w:b w:val="0"/>
                <w:bCs w:val="0"/>
                <w:i w:val="0"/>
                <w:color w:val="000000"/>
                <w:kern w:val="0"/>
                <w:sz w:val="22"/>
                <w:szCs w:val="22"/>
                <w:u w:val="none"/>
                <w:lang w:val="en-US" w:eastAsia="zh-CN" w:bidi="ar"/>
              </w:rPr>
              <w:t>0.21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val="0"/>
                <w:i w:val="0"/>
                <w:color w:val="000000"/>
                <w:kern w:val="0"/>
                <w:sz w:val="22"/>
                <w:szCs w:val="22"/>
                <w:u w:val="none"/>
                <w:lang w:val="en-US" w:eastAsia="zh-CN" w:bidi="ar"/>
              </w:rPr>
            </w:pPr>
            <w:r>
              <w:rPr>
                <w:rFonts w:hint="eastAsia" w:eastAsia="宋体" w:cs="Times New Roman"/>
                <w:b w:val="0"/>
                <w:bCs w:val="0"/>
                <w:i w:val="0"/>
                <w:color w:val="000000"/>
                <w:kern w:val="0"/>
                <w:sz w:val="22"/>
                <w:szCs w:val="22"/>
                <w:u w:val="none"/>
                <w:lang w:val="en-US" w:eastAsia="zh-CN" w:bidi="ar"/>
              </w:rPr>
              <w:t>0.21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val="0"/>
                <w:i w:val="0"/>
                <w:color w:val="000000"/>
                <w:kern w:val="0"/>
                <w:sz w:val="22"/>
                <w:szCs w:val="22"/>
                <w:u w:val="none"/>
                <w:lang w:val="en-US" w:eastAsia="zh-CN" w:bidi="ar"/>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二</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1.43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1.43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sz w:val="21"/>
                <w:szCs w:val="21"/>
                <w:u w:val="none"/>
                <w:lang w:val="en-US" w:eastAsia="zh-CN"/>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1.43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sz w:val="21"/>
                <w:szCs w:val="21"/>
                <w:u w:val="none"/>
                <w:lang w:val="en-US" w:eastAsia="zh-CN"/>
              </w:rPr>
              <w:t>1.43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sz w:val="21"/>
                <w:szCs w:val="21"/>
                <w:u w:val="none"/>
                <w:lang w:val="en-US" w:eastAsia="zh-CN"/>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sz w:val="21"/>
                <w:szCs w:val="21"/>
                <w:u w:val="none"/>
                <w:lang w:val="en-US" w:eastAsia="zh-CN"/>
              </w:rPr>
              <w:t>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三</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第</w:t>
            </w:r>
            <w:r>
              <w:rPr>
                <w:rFonts w:hint="eastAsia" w:ascii="仿宋_GB2312" w:hAnsi="宋体" w:eastAsia="仿宋_GB2312" w:cs="仿宋_GB2312"/>
                <w:b/>
                <w:i w:val="0"/>
                <w:color w:val="000000"/>
                <w:kern w:val="0"/>
                <w:sz w:val="21"/>
                <w:szCs w:val="21"/>
                <w:u w:val="none"/>
                <w:lang w:val="en-US" w:eastAsia="zh-CN" w:bidi="ar"/>
              </w:rPr>
              <w:t>三</w:t>
            </w:r>
            <w:r>
              <w:rPr>
                <w:rFonts w:hint="default" w:ascii="仿宋_GB2312" w:hAnsi="宋体" w:eastAsia="仿宋_GB2312" w:cs="仿宋_GB2312"/>
                <w:b/>
                <w:i w:val="0"/>
                <w:color w:val="000000"/>
                <w:kern w:val="0"/>
                <w:sz w:val="21"/>
                <w:szCs w:val="21"/>
                <w:u w:val="none"/>
                <w:lang w:val="en-US" w:eastAsia="zh-CN" w:bidi="ar"/>
              </w:rPr>
              <w:t xml:space="preserve">部分 </w:t>
            </w:r>
            <w:r>
              <w:rPr>
                <w:rFonts w:hint="eastAsia" w:ascii="仿宋_GB2312" w:hAnsi="宋体" w:eastAsia="仿宋_GB2312" w:cs="仿宋_GB2312"/>
                <w:b/>
                <w:i w:val="0"/>
                <w:color w:val="000000"/>
                <w:kern w:val="0"/>
                <w:sz w:val="21"/>
                <w:szCs w:val="21"/>
                <w:u w:val="none"/>
                <w:lang w:val="en-US" w:eastAsia="zh-CN" w:bidi="ar"/>
              </w:rPr>
              <w:t>临时</w:t>
            </w:r>
            <w:r>
              <w:rPr>
                <w:rFonts w:hint="default" w:ascii="仿宋_GB2312" w:hAnsi="宋体" w:eastAsia="仿宋_GB2312" w:cs="仿宋_GB2312"/>
                <w:b/>
                <w:i w:val="0"/>
                <w:color w:val="000000"/>
                <w:kern w:val="0"/>
                <w:sz w:val="21"/>
                <w:szCs w:val="21"/>
                <w:u w:val="none"/>
                <w:lang w:val="en-US" w:eastAsia="zh-CN" w:bidi="ar"/>
              </w:rPr>
              <w:t>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1.68</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1.68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1.68</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1.68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四</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第四部分 独立费用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11.29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sz w:val="21"/>
                <w:szCs w:val="21"/>
                <w:u w:val="none"/>
                <w:lang w:val="en-US" w:eastAsia="zh-CN"/>
              </w:rPr>
              <w:t>11.29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sz w:val="21"/>
                <w:szCs w:val="21"/>
                <w:u w:val="none"/>
                <w:lang w:val="en-US" w:eastAsia="zh-CN"/>
              </w:rPr>
              <w:t>11.29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建设管理费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0.29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0.29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勘察设计费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4</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一至</w:t>
            </w:r>
            <w:r>
              <w:rPr>
                <w:rFonts w:hint="eastAsia" w:ascii="仿宋_GB2312" w:hAnsi="宋体" w:eastAsia="仿宋_GB2312" w:cs="仿宋_GB2312"/>
                <w:b/>
                <w:i w:val="0"/>
                <w:color w:val="000000"/>
                <w:kern w:val="0"/>
                <w:sz w:val="21"/>
                <w:szCs w:val="21"/>
                <w:u w:val="none"/>
                <w:lang w:val="en-US" w:eastAsia="zh-CN" w:bidi="ar"/>
              </w:rPr>
              <w:t>四</w:t>
            </w:r>
            <w:r>
              <w:rPr>
                <w:rFonts w:hint="default" w:ascii="仿宋_GB2312" w:hAnsi="宋体" w:eastAsia="仿宋_GB2312" w:cs="仿宋_GB2312"/>
                <w:b/>
                <w:i w:val="0"/>
                <w:color w:val="000000"/>
                <w:kern w:val="0"/>
                <w:sz w:val="21"/>
                <w:szCs w:val="21"/>
                <w:u w:val="none"/>
                <w:lang w:val="en-US" w:eastAsia="zh-CN" w:bidi="ar"/>
              </w:rPr>
              <w:t>部分合计</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13.31</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1.43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11.29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26.03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2.6</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五</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预备费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0.78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基本预备费（</w:t>
            </w:r>
            <w:r>
              <w:rPr>
                <w:rFonts w:hint="default" w:ascii="Times New Roman" w:hAnsi="Times New Roman" w:eastAsia="仿宋_GB2312" w:cs="Times New Roman"/>
                <w:i w:val="0"/>
                <w:color w:val="000000"/>
                <w:kern w:val="0"/>
                <w:sz w:val="21"/>
                <w:szCs w:val="21"/>
                <w:u w:val="none"/>
                <w:lang w:val="en-US" w:eastAsia="zh-CN" w:bidi="ar"/>
              </w:rPr>
              <w:t>3%</w:t>
            </w:r>
            <w:r>
              <w:rPr>
                <w:rStyle w:val="205"/>
                <w:rFonts w:hAnsi="宋体"/>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0.78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sz w:val="21"/>
                <w:szCs w:val="21"/>
                <w:u w:val="none"/>
                <w:lang w:val="en-US" w:eastAsia="zh-CN"/>
              </w:rPr>
              <w:t>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六</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default" w:ascii="仿宋_GB2312" w:hAnsi="宋体" w:eastAsia="仿宋_GB2312" w:cs="仿宋_GB2312"/>
                <w:b/>
                <w:i w:val="0"/>
                <w:color w:val="000000"/>
                <w:kern w:val="0"/>
                <w:sz w:val="21"/>
                <w:szCs w:val="21"/>
                <w:u w:val="none"/>
                <w:lang w:val="en-US" w:eastAsia="zh-CN" w:bidi="ar"/>
              </w:rPr>
              <w:t>水土保持补偿费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r>
              <w:rPr>
                <w:rFonts w:hint="eastAsia" w:eastAsia="宋体" w:cs="Times New Roman"/>
                <w:b/>
                <w:i w:val="0"/>
                <w:color w:val="000000"/>
                <w:kern w:val="0"/>
                <w:sz w:val="21"/>
                <w:szCs w:val="21"/>
                <w:u w:val="none"/>
                <w:lang w:val="en-US" w:eastAsia="zh-CN" w:bidi="ar"/>
              </w:rPr>
              <w:t>1.32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r>
              <w:rPr>
                <w:rFonts w:hint="eastAsia" w:eastAsia="宋体" w:cs="Times New Roman"/>
                <w:b/>
                <w:i w:val="0"/>
                <w:color w:val="000000"/>
                <w:kern w:val="0"/>
                <w:sz w:val="21"/>
                <w:szCs w:val="21"/>
                <w:u w:val="none"/>
                <w:lang w:val="en-US" w:eastAsia="zh-CN" w:bidi="ar"/>
              </w:rPr>
              <w:t>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工程总投资</w:t>
            </w:r>
          </w:p>
        </w:tc>
        <w:tc>
          <w:tcPr>
            <w:tcW w:w="17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28.13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2.6</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25.53</w:t>
            </w:r>
          </w:p>
        </w:tc>
      </w:tr>
    </w:tbl>
    <w:p>
      <w:pPr>
        <w:pStyle w:val="43"/>
        <w:ind w:firstLine="480"/>
        <w:rPr>
          <w:rFonts w:hint="eastAsia"/>
          <w:snapToGrid w:val="0"/>
          <w:kern w:val="0"/>
        </w:rPr>
      </w:pPr>
    </w:p>
    <w:p>
      <w:pPr>
        <w:rPr>
          <w:rFonts w:ascii="Times New Roman" w:hAnsi="Times New Roman" w:eastAsia="仿宋_GB2312"/>
          <w:b/>
          <w:sz w:val="24"/>
        </w:rPr>
      </w:pPr>
      <w:r>
        <w:rPr>
          <w:rFonts w:ascii="Times New Roman" w:hAnsi="Times New Roman" w:eastAsia="仿宋_GB2312"/>
          <w:b/>
          <w:sz w:val="24"/>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-2  水土保持工程措施概算表          单位：万元</w:t>
      </w:r>
    </w:p>
    <w:tbl>
      <w:tblPr>
        <w:tblStyle w:val="24"/>
        <w:tblW w:w="8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17"/>
        <w:gridCol w:w="1832"/>
        <w:gridCol w:w="707"/>
        <w:gridCol w:w="1212"/>
        <w:gridCol w:w="1053"/>
        <w:gridCol w:w="1123"/>
        <w:gridCol w:w="1052"/>
        <w:gridCol w:w="1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2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1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244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1"/>
                <w:rFonts w:hAnsi="宋体"/>
                <w:lang w:val="en-US" w:eastAsia="zh-CN" w:bidi="ar"/>
              </w:rPr>
              <w:t xml:space="preserve"> 工程措施</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11.63</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2.6</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r>
              <w:rPr>
                <w:rFonts w:hint="eastAsia" w:eastAsia="宋体" w:cs="Times New Roman"/>
                <w:b/>
                <w:bCs/>
                <w:i w:val="0"/>
                <w:color w:val="000000"/>
                <w:kern w:val="0"/>
                <w:sz w:val="22"/>
                <w:szCs w:val="22"/>
                <w:u w:val="none"/>
                <w:lang w:val="en-US" w:eastAsia="zh-CN" w:bidi="ar"/>
              </w:rPr>
              <w:t>9.03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sz w:val="21"/>
                <w:szCs w:val="21"/>
                <w:u w:val="none"/>
                <w:lang w:eastAsia="zh-CN"/>
              </w:rPr>
              <w:t>工业场地</w:t>
            </w:r>
            <w:r>
              <w:rPr>
                <w:rFonts w:hint="default" w:ascii="仿宋_GB2312" w:hAnsi="宋体" w:eastAsia="仿宋_GB2312" w:cs="仿宋_GB2312"/>
                <w:b/>
                <w:i w:val="0"/>
                <w:color w:val="000000"/>
                <w:sz w:val="21"/>
                <w:szCs w:val="21"/>
                <w:u w:val="none"/>
              </w:rPr>
              <w:t>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2"/>
                <w:szCs w:val="22"/>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11.42</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2.6</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default" w:ascii="仿宋_GB2312" w:hAnsi="宋体" w:eastAsia="仿宋_GB2312" w:cs="仿宋_GB2312"/>
                <w:i w:val="0"/>
                <w:color w:val="000000"/>
                <w:kern w:val="0"/>
                <w:sz w:val="21"/>
                <w:szCs w:val="21"/>
                <w:u w:val="none"/>
                <w:lang w:val="en-US" w:eastAsia="zh-CN" w:bidi="ar"/>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396</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7.8</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土方开挖</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371.78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19.62</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0.73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土方回填</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96.79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14.29</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0.14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浆砌石</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240.62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287.85</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6.93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6.93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表土剥离</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1144.00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2"/>
                <w:szCs w:val="22"/>
                <w:u w:val="none"/>
                <w:lang w:val="en-US" w:eastAsia="zh-CN" w:bidi="ar"/>
              </w:rPr>
              <w:t>4.56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0.52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表土回覆</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1144.00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2"/>
                <w:szCs w:val="22"/>
                <w:u w:val="none"/>
                <w:lang w:val="en-US" w:eastAsia="zh-CN" w:bidi="ar"/>
              </w:rPr>
              <w:t>4.33</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0.50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雨水收集池</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kern w:val="0"/>
                <w:szCs w:val="21"/>
                <w:lang w:val="en-US" w:eastAsia="zh-CN"/>
              </w:rPr>
            </w:pPr>
            <w:r>
              <w:rPr>
                <w:rFonts w:hint="eastAsia" w:eastAsia="仿宋_GB2312"/>
                <w:kern w:val="0"/>
                <w:szCs w:val="21"/>
                <w:lang w:val="en-US" w:eastAsia="zh-CN"/>
              </w:rPr>
              <w:t>座</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r>
              <w:rPr>
                <w:rFonts w:hint="eastAsia" w:ascii="Times New Roman" w:hAnsi="Times New Roman" w:eastAsia="宋体" w:cs="Times New Roman"/>
                <w:i w:val="0"/>
                <w:color w:val="000000"/>
                <w:kern w:val="0"/>
                <w:sz w:val="22"/>
                <w:szCs w:val="22"/>
                <w:u w:val="none"/>
                <w:lang w:val="en-US" w:eastAsia="zh-CN" w:bidi="ar"/>
              </w:rPr>
              <w:t xml:space="preserve">2.6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2.6</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二</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进场道路</w:t>
            </w:r>
            <w:r>
              <w:rPr>
                <w:rFonts w:hint="default" w:ascii="仿宋_GB2312" w:hAnsi="宋体" w:eastAsia="仿宋_GB2312" w:cs="仿宋_GB2312"/>
                <w:b/>
                <w:i w:val="0"/>
                <w:color w:val="000000"/>
                <w:sz w:val="21"/>
                <w:szCs w:val="21"/>
                <w:u w:val="none"/>
              </w:rPr>
              <w:t>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b/>
                <w:i w:val="0"/>
                <w:color w:val="000000"/>
                <w:kern w:val="2"/>
                <w:sz w:val="22"/>
                <w:szCs w:val="22"/>
                <w:u w:val="none"/>
                <w:lang w:val="en-US" w:eastAsia="zh-CN" w:bidi="ar-SA"/>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0.21</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bCs/>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排水沟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m</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11</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0.21</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土方开挖</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9.79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1"/>
                <w:szCs w:val="21"/>
                <w:u w:val="none"/>
                <w:lang w:val="en-US" w:eastAsia="zh-CN" w:bidi="ar"/>
              </w:rPr>
              <w:t>19.62</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0.02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0.02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土方回填</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2.55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1"/>
                <w:szCs w:val="21"/>
                <w:u w:val="none"/>
                <w:lang w:val="en-US" w:eastAsia="zh-CN" w:bidi="ar"/>
              </w:rPr>
              <w:t>14.29</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0.01</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浆砌石</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m</w:t>
            </w:r>
            <w:r>
              <w:rPr>
                <w:rFonts w:hint="eastAsia" w:ascii="Times New Roman" w:hAnsi="Times New Roman" w:eastAsia="仿宋_GB2312"/>
                <w:kern w:val="0"/>
                <w:szCs w:val="21"/>
                <w:vertAlign w:val="superscript"/>
                <w:lang w:val="en-US" w:eastAsia="zh-CN"/>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6.33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1"/>
                <w:szCs w:val="21"/>
                <w:u w:val="none"/>
                <w:lang w:val="en-US" w:eastAsia="zh-CN" w:bidi="ar"/>
              </w:rPr>
              <w:t>287.85</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0.18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 xml:space="preserve">0.18 </w:t>
            </w:r>
          </w:p>
        </w:tc>
      </w:tr>
    </w:tbl>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-3  水土保持植物措施概算表         单位：万元</w:t>
      </w:r>
    </w:p>
    <w:tbl>
      <w:tblPr>
        <w:tblStyle w:val="24"/>
        <w:tblW w:w="9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868"/>
        <w:gridCol w:w="734"/>
        <w:gridCol w:w="1099"/>
        <w:gridCol w:w="1100"/>
        <w:gridCol w:w="1542"/>
        <w:gridCol w:w="110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3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0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1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54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3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9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54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9" w:hRule="atLeast"/>
          <w:jc w:val="center"/>
        </w:trPr>
        <w:tc>
          <w:tcPr>
            <w:tcW w:w="25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02"/>
                <w:rFonts w:hAnsi="宋体"/>
                <w:lang w:val="en-US" w:eastAsia="zh-CN" w:bidi="ar"/>
              </w:rPr>
              <w:t>植物措施</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1.43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1"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一</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sz w:val="21"/>
                <w:szCs w:val="21"/>
                <w:u w:val="none"/>
                <w:lang w:eastAsia="zh-CN"/>
              </w:rPr>
              <w:t>工业场地</w:t>
            </w:r>
            <w:r>
              <w:rPr>
                <w:rFonts w:hint="default" w:ascii="仿宋_GB2312" w:hAnsi="宋体" w:eastAsia="仿宋_GB2312" w:cs="仿宋_GB2312"/>
                <w:b/>
                <w:i w:val="0"/>
                <w:color w:val="000000"/>
                <w:sz w:val="21"/>
                <w:szCs w:val="21"/>
                <w:u w:val="none"/>
              </w:rPr>
              <w:t>防治区</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1.43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sz w:val="21"/>
                <w:szCs w:val="21"/>
                <w:u w:val="none"/>
                <w:lang w:val="en-US" w:eastAsia="zh-CN"/>
              </w:rPr>
            </w:pPr>
            <w:r>
              <w:rPr>
                <w:rFonts w:hint="eastAsia" w:eastAsia="宋体" w:cs="Times New Roman"/>
                <w:i w:val="0"/>
                <w:color w:val="000000"/>
                <w:sz w:val="22"/>
                <w:szCs w:val="22"/>
                <w:u w:val="none"/>
                <w:lang w:val="en-US" w:eastAsia="zh-CN"/>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2"/>
                <w:szCs w:val="22"/>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i w:val="0"/>
                <w:color w:val="000000"/>
                <w:sz w:val="21"/>
                <w:szCs w:val="21"/>
                <w:u w:val="none"/>
                <w:lang w:val="en-US" w:eastAsia="zh-CN"/>
              </w:rPr>
              <w:t>0.41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1.43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栽植</w:t>
            </w:r>
            <w:r>
              <w:rPr>
                <w:rFonts w:hint="eastAsia" w:ascii="仿宋_GB2312" w:hAnsi="宋体" w:eastAsia="仿宋_GB2312" w:cs="仿宋_GB2312"/>
                <w:i w:val="0"/>
                <w:color w:val="000000"/>
                <w:kern w:val="0"/>
                <w:sz w:val="21"/>
                <w:szCs w:val="21"/>
                <w:u w:val="none"/>
                <w:lang w:val="en-US" w:eastAsia="zh-CN" w:bidi="ar"/>
              </w:rPr>
              <w:t>油松</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穴状整地（3</w:t>
            </w:r>
            <w:r>
              <w:rPr>
                <w:rStyle w:val="199"/>
                <w:rFonts w:eastAsia="仿宋_GB2312"/>
                <w:lang w:val="en-US" w:eastAsia="zh-CN" w:bidi="ar"/>
              </w:rPr>
              <w:t>0×</w:t>
            </w:r>
            <w:r>
              <w:rPr>
                <w:rStyle w:val="200"/>
                <w:rFonts w:hAnsi="宋体"/>
                <w:lang w:val="en-US" w:eastAsia="zh-CN" w:bidi="ar"/>
              </w:rPr>
              <w:t>3</w:t>
            </w:r>
            <w:r>
              <w:rPr>
                <w:rStyle w:val="199"/>
                <w:rFonts w:eastAsia="仿宋_GB2312"/>
                <w:lang w:val="en-US" w:eastAsia="zh-CN" w:bidi="ar"/>
              </w:rPr>
              <w:t>0</w:t>
            </w:r>
            <w:r>
              <w:rPr>
                <w:rStyle w:val="200"/>
                <w:rFonts w:hAnsi="宋体"/>
                <w:lang w:val="en-US" w:eastAsia="zh-CN" w:bidi="ar"/>
              </w:rPr>
              <w:t>）</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kern w:val="0"/>
                <w:sz w:val="22"/>
                <w:szCs w:val="22"/>
                <w:u w:val="none"/>
                <w:lang w:val="en-US" w:eastAsia="zh-CN" w:bidi="ar"/>
              </w:rPr>
              <w:t>704</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r>
              <w:rPr>
                <w:rFonts w:hint="eastAsia" w:eastAsia="宋体" w:cs="Times New Roman"/>
                <w:b w:val="0"/>
                <w:bCs/>
                <w:i w:val="0"/>
                <w:color w:val="000000"/>
                <w:sz w:val="20"/>
                <w:szCs w:val="20"/>
                <w:u w:val="none"/>
                <w:lang w:val="en-US" w:eastAsia="zh-CN"/>
              </w:rPr>
              <w:t>0.41</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0.03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栽植苗数</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kern w:val="0"/>
                <w:sz w:val="22"/>
                <w:szCs w:val="22"/>
                <w:u w:val="none"/>
                <w:lang w:val="en-US" w:eastAsia="zh-CN" w:bidi="ar"/>
              </w:rPr>
              <w:t>704</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b w:val="0"/>
                <w:bCs/>
                <w:i w:val="0"/>
                <w:color w:val="000000"/>
                <w:sz w:val="20"/>
                <w:szCs w:val="20"/>
                <w:u w:val="none"/>
                <w:lang w:val="en-US" w:eastAsia="zh-CN"/>
              </w:rPr>
              <w:t>4.5</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0.32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需苗量</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kern w:val="0"/>
                <w:sz w:val="22"/>
                <w:szCs w:val="22"/>
                <w:u w:val="none"/>
                <w:lang w:val="en-US" w:eastAsia="zh-CN" w:bidi="ar"/>
              </w:rPr>
              <w:t>718</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b w:val="0"/>
                <w:bCs/>
                <w:i w:val="0"/>
                <w:color w:val="000000"/>
                <w:sz w:val="20"/>
                <w:szCs w:val="20"/>
                <w:u w:val="none"/>
                <w:lang w:val="en-US" w:eastAsia="zh-CN"/>
              </w:rPr>
              <w:t>15</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1.08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1.08 </w:t>
            </w:r>
          </w:p>
        </w:tc>
      </w:tr>
    </w:tbl>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ascii="Times New Roman" w:hAnsi="Times New Roman" w:eastAsia="仿宋_GB2312"/>
          <w:b/>
          <w:sz w:val="24"/>
          <w:lang w:val="en-US" w:eastAsia="zh-CN"/>
        </w:rPr>
        <w:t>8</w:t>
      </w:r>
      <w:r>
        <w:rPr>
          <w:rFonts w:ascii="Times New Roman" w:hAnsi="Times New Roman" w:eastAsia="仿宋_GB2312"/>
          <w:b/>
          <w:sz w:val="24"/>
        </w:rPr>
        <w:t>-</w:t>
      </w:r>
      <w:r>
        <w:rPr>
          <w:rFonts w:hint="eastAsia" w:ascii="Times New Roman" w:hAnsi="Times New Roman" w:eastAsia="仿宋_GB2312"/>
          <w:b/>
          <w:sz w:val="24"/>
          <w:lang w:val="en-US" w:eastAsia="zh-CN"/>
        </w:rPr>
        <w:t>4</w:t>
      </w:r>
      <w:r>
        <w:rPr>
          <w:rFonts w:ascii="Times New Roman" w:hAnsi="Times New Roman" w:eastAsia="仿宋_GB2312"/>
          <w:b/>
          <w:sz w:val="24"/>
        </w:rPr>
        <w:t xml:space="preserve">  水土保持</w:t>
      </w:r>
      <w:r>
        <w:rPr>
          <w:rFonts w:hint="eastAsia" w:ascii="Times New Roman" w:hAnsi="Times New Roman" w:eastAsia="仿宋_GB2312"/>
          <w:b/>
          <w:sz w:val="24"/>
          <w:lang w:eastAsia="zh-CN"/>
        </w:rPr>
        <w:t>临时</w:t>
      </w:r>
      <w:r>
        <w:rPr>
          <w:rFonts w:ascii="Times New Roman" w:hAnsi="Times New Roman" w:eastAsia="仿宋_GB2312"/>
          <w:b/>
          <w:sz w:val="24"/>
        </w:rPr>
        <w:t>措施</w:t>
      </w:r>
      <w:r>
        <w:rPr>
          <w:rFonts w:hint="eastAsia" w:ascii="Times New Roman" w:hAnsi="Times New Roman" w:eastAsia="仿宋_GB2312"/>
          <w:b/>
          <w:sz w:val="24"/>
          <w:lang w:eastAsia="zh-CN"/>
        </w:rPr>
        <w:t>估算</w:t>
      </w:r>
      <w:r>
        <w:rPr>
          <w:rFonts w:ascii="Times New Roman" w:hAnsi="Times New Roman" w:eastAsia="仿宋_GB2312"/>
          <w:b/>
          <w:sz w:val="24"/>
        </w:rPr>
        <w:t>表         单位：万元</w:t>
      </w:r>
    </w:p>
    <w:tbl>
      <w:tblPr>
        <w:tblStyle w:val="24"/>
        <w:tblW w:w="87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72"/>
        <w:gridCol w:w="1880"/>
        <w:gridCol w:w="668"/>
        <w:gridCol w:w="1073"/>
        <w:gridCol w:w="1073"/>
        <w:gridCol w:w="1207"/>
        <w:gridCol w:w="1073"/>
        <w:gridCol w:w="10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7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6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07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07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2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p>
        </w:tc>
        <w:tc>
          <w:tcPr>
            <w:tcW w:w="214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6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7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7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5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val="0"/>
                <w:i w:val="0"/>
                <w:color w:val="000000"/>
                <w:sz w:val="21"/>
                <w:szCs w:val="21"/>
                <w:u w:val="none"/>
              </w:rPr>
            </w:pPr>
            <w:r>
              <w:rPr>
                <w:rFonts w:hint="default" w:ascii="仿宋_GB2312" w:hAnsi="宋体" w:eastAsia="仿宋_GB2312" w:cs="仿宋_GB2312"/>
                <w:b/>
                <w:bCs w:val="0"/>
                <w:i w:val="0"/>
                <w:color w:val="000000"/>
                <w:kern w:val="0"/>
                <w:sz w:val="21"/>
                <w:szCs w:val="21"/>
                <w:u w:val="none"/>
                <w:lang w:val="en-US" w:eastAsia="zh-CN" w:bidi="ar"/>
              </w:rPr>
              <w:t>第</w:t>
            </w:r>
            <w:r>
              <w:rPr>
                <w:rFonts w:hint="eastAsia" w:ascii="仿宋_GB2312" w:hAnsi="宋体" w:eastAsia="仿宋_GB2312" w:cs="仿宋_GB2312"/>
                <w:b/>
                <w:bCs w:val="0"/>
                <w:i w:val="0"/>
                <w:color w:val="000000"/>
                <w:kern w:val="0"/>
                <w:sz w:val="21"/>
                <w:szCs w:val="21"/>
                <w:u w:val="none"/>
                <w:lang w:val="en-US" w:eastAsia="zh-CN" w:bidi="ar"/>
              </w:rPr>
              <w:t>三</w:t>
            </w:r>
            <w:r>
              <w:rPr>
                <w:rFonts w:hint="default" w:ascii="仿宋_GB2312" w:hAnsi="宋体" w:eastAsia="仿宋_GB2312" w:cs="仿宋_GB2312"/>
                <w:b/>
                <w:bCs w:val="0"/>
                <w:i w:val="0"/>
                <w:color w:val="000000"/>
                <w:kern w:val="0"/>
                <w:sz w:val="21"/>
                <w:szCs w:val="21"/>
                <w:u w:val="none"/>
                <w:lang w:val="en-US" w:eastAsia="zh-CN" w:bidi="ar"/>
              </w:rPr>
              <w:t>部分</w:t>
            </w:r>
            <w:r>
              <w:rPr>
                <w:rFonts w:ascii="Arial" w:hAnsi="Arial" w:eastAsia="仿宋_GB2312" w:cs="Arial"/>
                <w:b/>
                <w:bCs w:val="0"/>
                <w:i w:val="0"/>
                <w:color w:val="000000"/>
                <w:kern w:val="0"/>
                <w:sz w:val="21"/>
                <w:szCs w:val="21"/>
                <w:u w:val="none"/>
                <w:lang w:val="en-US" w:eastAsia="zh-CN" w:bidi="ar"/>
              </w:rPr>
              <w:t xml:space="preserve"> </w:t>
            </w:r>
            <w:r>
              <w:rPr>
                <w:rStyle w:val="207"/>
                <w:rFonts w:hint="eastAsia" w:hAnsi="宋体"/>
                <w:b/>
                <w:bCs w:val="0"/>
                <w:lang w:val="en-US" w:eastAsia="zh-CN" w:bidi="ar"/>
              </w:rPr>
              <w:t>临时</w:t>
            </w:r>
            <w:r>
              <w:rPr>
                <w:rStyle w:val="207"/>
                <w:rFonts w:hAnsi="宋体"/>
                <w:b/>
                <w:bCs w:val="0"/>
                <w:lang w:val="en-US" w:eastAsia="zh-CN" w:bidi="ar"/>
              </w:rPr>
              <w:t>措施</w:t>
            </w:r>
          </w:p>
        </w:tc>
        <w:tc>
          <w:tcPr>
            <w:tcW w:w="668"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b/>
                <w:bCs w:val="0"/>
                <w:i w:val="0"/>
                <w:color w:val="000000"/>
                <w:sz w:val="20"/>
                <w:szCs w:val="20"/>
                <w:u w:val="none"/>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宋体" w:hAnsi="宋体" w:eastAsia="宋体" w:cs="宋体"/>
                <w:color w:val="auto"/>
                <w:kern w:val="0"/>
                <w:sz w:val="21"/>
                <w:szCs w:val="21"/>
                <w:lang w:val="en-US" w:eastAsia="zh-CN" w:bidi="ar-SA"/>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宋体" w:hAnsi="宋体" w:eastAsia="宋体" w:cs="宋体"/>
                <w:color w:val="auto"/>
                <w:kern w:val="0"/>
                <w:sz w:val="21"/>
                <w:szCs w:val="21"/>
                <w:lang w:val="en-US" w:eastAsia="zh-CN" w:bidi="ar-SA"/>
              </w:rPr>
            </w:pPr>
          </w:p>
        </w:tc>
        <w:tc>
          <w:tcPr>
            <w:tcW w:w="12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1.68</w:t>
            </w: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1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b/>
                <w:i w:val="0"/>
                <w:color w:val="000000"/>
                <w:sz w:val="21"/>
                <w:szCs w:val="21"/>
                <w:u w:val="none"/>
                <w:lang w:eastAsia="zh-CN"/>
              </w:rPr>
              <w:t>工业场地</w:t>
            </w:r>
            <w:r>
              <w:rPr>
                <w:rFonts w:hint="default" w:ascii="仿宋_GB2312" w:hAnsi="宋体" w:eastAsia="仿宋_GB2312" w:cs="仿宋_GB2312"/>
                <w:b/>
                <w:i w:val="0"/>
                <w:color w:val="000000"/>
                <w:sz w:val="21"/>
                <w:szCs w:val="21"/>
                <w:u w:val="none"/>
              </w:rPr>
              <w:t>防治区</w:t>
            </w:r>
          </w:p>
        </w:tc>
        <w:tc>
          <w:tcPr>
            <w:tcW w:w="668"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2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1.68</w:t>
            </w: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临时防护</w:t>
            </w:r>
          </w:p>
        </w:tc>
        <w:tc>
          <w:tcPr>
            <w:tcW w:w="668"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2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彩条布苫盖</w:t>
            </w:r>
          </w:p>
        </w:tc>
        <w:tc>
          <w:tcPr>
            <w:tcW w:w="668"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m</w:t>
            </w:r>
            <w:r>
              <w:rPr>
                <w:rFonts w:hint="eastAsia" w:ascii="仿宋_GB2312" w:hAnsi="宋体" w:eastAsia="仿宋_GB2312" w:cs="仿宋_GB2312"/>
                <w:i w:val="0"/>
                <w:color w:val="000000"/>
                <w:kern w:val="0"/>
                <w:sz w:val="21"/>
                <w:szCs w:val="21"/>
                <w:u w:val="none"/>
                <w:vertAlign w:val="superscript"/>
                <w:lang w:val="en-US" w:eastAsia="zh-CN" w:bidi="ar"/>
              </w:rPr>
              <w:t>2</w:t>
            </w: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650</w:t>
            </w: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25.8</w:t>
            </w:r>
          </w:p>
        </w:tc>
        <w:tc>
          <w:tcPr>
            <w:tcW w:w="12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1.68</w:t>
            </w:r>
          </w:p>
        </w:tc>
        <w:tc>
          <w:tcPr>
            <w:tcW w:w="10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1.68</w:t>
            </w: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w:t>
      </w:r>
      <w:r>
        <w:rPr>
          <w:rFonts w:hint="eastAsia" w:eastAsia="仿宋_GB2312"/>
          <w:b/>
          <w:sz w:val="24"/>
          <w:lang w:val="en-US" w:eastAsia="zh-CN"/>
        </w:rPr>
        <w:t>5</w:t>
      </w:r>
      <w:r>
        <w:rPr>
          <w:rFonts w:ascii="Times New Roman" w:hAnsi="Times New Roman" w:eastAsia="仿宋_GB2312"/>
          <w:b/>
          <w:sz w:val="24"/>
        </w:rPr>
        <w:t xml:space="preserve">  水土保持独立费用概算表</w:t>
      </w:r>
      <w:r>
        <w:rPr>
          <w:rFonts w:ascii="Times New Roman" w:hAnsi="Times New Roman" w:eastAsia="仿宋_GB2312"/>
        </w:rPr>
        <w:t xml:space="preserve">          单位：万元</w:t>
      </w:r>
    </w:p>
    <w:tbl>
      <w:tblPr>
        <w:tblStyle w:val="24"/>
        <w:tblW w:w="90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9"/>
        <w:gridCol w:w="1701"/>
        <w:gridCol w:w="5195"/>
        <w:gridCol w:w="1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158" w:right="15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序号</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95" w:type="dxa"/>
            <w:noWrap w:val="0"/>
            <w:vAlign w:val="top"/>
          </w:tcPr>
          <w:p>
            <w:pPr>
              <w:pStyle w:val="204"/>
              <w:spacing w:before="34"/>
              <w:ind w:left="24"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计算公式</w:t>
            </w:r>
          </w:p>
        </w:tc>
        <w:tc>
          <w:tcPr>
            <w:tcW w:w="1330" w:type="dxa"/>
            <w:noWrap w:val="0"/>
            <w:vAlign w:val="top"/>
          </w:tcPr>
          <w:p>
            <w:pPr>
              <w:pStyle w:val="204"/>
              <w:spacing w:before="34"/>
              <w:ind w:left="86" w:right="5"/>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费用（万元）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80" w:type="dxa"/>
            <w:gridSpan w:val="2"/>
            <w:noWrap w:val="0"/>
            <w:vAlign w:val="top"/>
          </w:tcPr>
          <w:p>
            <w:pPr>
              <w:pStyle w:val="204"/>
              <w:spacing w:before="33"/>
              <w:ind w:left="350"/>
              <w:jc w:val="left"/>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第四部分 独立费用</w:t>
            </w:r>
          </w:p>
        </w:tc>
        <w:tc>
          <w:tcPr>
            <w:tcW w:w="5195" w:type="dxa"/>
            <w:noWrap w:val="0"/>
            <w:vAlign w:val="top"/>
          </w:tcPr>
          <w:p>
            <w:pPr>
              <w:pStyle w:val="204"/>
              <w:jc w:val="left"/>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48"/>
              <w:ind w:left="12"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11.29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建设管理费</w:t>
            </w:r>
          </w:p>
        </w:tc>
        <w:tc>
          <w:tcPr>
            <w:tcW w:w="5195" w:type="dxa"/>
            <w:noWrap w:val="0"/>
            <w:vAlign w:val="top"/>
          </w:tcPr>
          <w:p>
            <w:pPr>
              <w:pStyle w:val="204"/>
              <w:spacing w:before="34"/>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11.63</w:t>
            </w:r>
            <w:r>
              <w:rPr>
                <w:rFonts w:hint="eastAsia"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1.43+1.68</w:t>
            </w:r>
            <w:r>
              <w:rPr>
                <w:rFonts w:hint="default" w:ascii="仿宋_GB2312" w:hAnsi="宋体" w:eastAsia="仿宋_GB2312" w:cs="仿宋_GB2312"/>
                <w:i w:val="0"/>
                <w:color w:val="000000"/>
                <w:kern w:val="0"/>
                <w:sz w:val="21"/>
                <w:szCs w:val="21"/>
                <w:u w:val="none"/>
                <w:lang w:val="en-US" w:eastAsia="zh-CN" w:bidi="ar"/>
              </w:rPr>
              <w:t>）×2%</w:t>
            </w:r>
          </w:p>
        </w:tc>
        <w:tc>
          <w:tcPr>
            <w:tcW w:w="1330" w:type="dxa"/>
            <w:noWrap w:val="0"/>
            <w:vAlign w:val="top"/>
          </w:tcPr>
          <w:p>
            <w:pPr>
              <w:pStyle w:val="204"/>
              <w:spacing w:before="48"/>
              <w:ind w:left="10"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36"/>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二</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5195" w:type="dxa"/>
            <w:noWrap w:val="0"/>
            <w:vAlign w:val="top"/>
          </w:tcPr>
          <w:p>
            <w:pPr>
              <w:pStyle w:val="204"/>
              <w:ind w:left="26"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w:t>
            </w:r>
            <w:r>
              <w:rPr>
                <w:rFonts w:hint="default" w:ascii="仿宋_GB2312" w:hAnsi="宋体" w:eastAsia="仿宋_GB2312" w:cs="仿宋_GB2312"/>
                <w:i w:val="0"/>
                <w:color w:val="000000"/>
                <w:kern w:val="0"/>
                <w:sz w:val="21"/>
                <w:szCs w:val="21"/>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三</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勘察设计费</w:t>
            </w:r>
          </w:p>
        </w:tc>
        <w:tc>
          <w:tcPr>
            <w:tcW w:w="5195" w:type="dxa"/>
            <w:noWrap w:val="0"/>
            <w:vAlign w:val="top"/>
          </w:tcPr>
          <w:p>
            <w:pPr>
              <w:pStyle w:val="204"/>
              <w:jc w:val="left"/>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（无需增设勘察设计费）</w:t>
            </w:r>
          </w:p>
        </w:tc>
        <w:tc>
          <w:tcPr>
            <w:tcW w:w="1330" w:type="dxa"/>
            <w:noWrap w:val="0"/>
            <w:vAlign w:val="top"/>
          </w:tcPr>
          <w:p>
            <w:pPr>
              <w:pStyle w:val="204"/>
              <w:spacing w:before="48"/>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勘察费</w:t>
            </w:r>
          </w:p>
        </w:tc>
        <w:tc>
          <w:tcPr>
            <w:tcW w:w="5195" w:type="dxa"/>
            <w:noWrap w:val="0"/>
            <w:vAlign w:val="top"/>
          </w:tcPr>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779" w:type="dxa"/>
            <w:noWrap w:val="0"/>
            <w:vAlign w:val="top"/>
          </w:tcPr>
          <w:p>
            <w:pPr>
              <w:pStyle w:val="204"/>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设计费</w:t>
            </w:r>
          </w:p>
        </w:tc>
        <w:tc>
          <w:tcPr>
            <w:tcW w:w="5195" w:type="dxa"/>
            <w:noWrap w:val="0"/>
            <w:vAlign w:val="top"/>
          </w:tcPr>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35"/>
              <w:ind w:left="21"/>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四</w:t>
            </w:r>
          </w:p>
        </w:tc>
        <w:tc>
          <w:tcPr>
            <w:tcW w:w="1701" w:type="dxa"/>
            <w:noWrap w:val="0"/>
            <w:vAlign w:val="top"/>
          </w:tcPr>
          <w:p>
            <w:pPr>
              <w:pStyle w:val="204"/>
              <w:spacing w:before="135"/>
              <w:ind w:left="94" w:right="86"/>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5195" w:type="dxa"/>
            <w:noWrap w:val="0"/>
            <w:vAlign w:val="center"/>
          </w:tcPr>
          <w:p>
            <w:pPr>
              <w:pStyle w:val="204"/>
              <w:ind w:left="26"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4"/>
              <w:spacing w:line="269" w:lineRule="exact"/>
              <w:ind w:left="25"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4"/>
              <w:spacing w:before="149"/>
              <w:ind w:left="9" w:right="5"/>
              <w:rPr>
                <w:rFonts w:hint="eastAsia"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7</w:t>
            </w:r>
            <w:r>
              <w:rPr>
                <w:rFonts w:hint="eastAsia" w:ascii="仿宋_GB2312" w:hAnsi="宋体" w:eastAsia="仿宋_GB2312" w:cs="仿宋_GB2312"/>
                <w:i w:val="0"/>
                <w:color w:val="000000"/>
                <w:kern w:val="0"/>
                <w:sz w:val="21"/>
                <w:szCs w:val="21"/>
                <w:u w:val="none"/>
                <w:lang w:val="en-US" w:eastAsia="zh-CN" w:bidi="ar"/>
              </w:rPr>
              <w:t>.00</w:t>
            </w:r>
          </w:p>
        </w:tc>
      </w:tr>
    </w:tbl>
    <w:p>
      <w:pPr>
        <w:pStyle w:val="43"/>
        <w:adjustRightInd/>
        <w:snapToGrid/>
        <w:ind w:firstLine="480"/>
        <w:rPr>
          <w:rFonts w:hint="eastAsia"/>
          <w:bCs/>
          <w:lang w:val="en-US" w:eastAsia="zh-CN"/>
        </w:rPr>
      </w:pPr>
      <w:r>
        <w:rPr>
          <w:rFonts w:hint="eastAsia"/>
          <w:bCs/>
          <w:lang w:val="en-US" w:eastAsia="zh-CN"/>
        </w:rPr>
        <w:t>2、效益分析</w:t>
      </w:r>
    </w:p>
    <w:p>
      <w:pPr>
        <w:pStyle w:val="43"/>
        <w:adjustRightInd/>
        <w:snapToGrid/>
        <w:ind w:firstLine="480"/>
        <w:rPr>
          <w:rFonts w:hint="default"/>
          <w:bCs/>
          <w:lang w:val="en-US" w:eastAsia="zh-CN"/>
        </w:rPr>
      </w:pPr>
      <w:r>
        <w:rPr>
          <w:rFonts w:hint="default"/>
          <w:bCs/>
          <w:lang w:val="en-US" w:eastAsia="zh-CN"/>
        </w:rPr>
        <w:t>在工程施工建设期实施的水土保持工程措施及植物措施目的是控制工程建设造成的新增水土流失，防治扰动面的土壤大量流失，维护工程的安全运行，绿化、美化环境，恢复改善工程占地区因占压、挖损、扰动破坏的土地及植被资源，其效益主要体现在基础效益、生态效益和社会效益上。</w:t>
      </w:r>
    </w:p>
    <w:p>
      <w:pPr>
        <w:pStyle w:val="43"/>
        <w:adjustRightInd/>
        <w:snapToGrid/>
        <w:ind w:firstLine="480"/>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水土流失治理度</w:t>
      </w:r>
    </w:p>
    <w:p>
      <w:pPr>
        <w:pStyle w:val="43"/>
        <w:adjustRightInd/>
        <w:snapToGrid/>
        <w:ind w:firstLine="480"/>
        <w:rPr>
          <w:rFonts w:hint="default"/>
          <w:bCs/>
          <w:lang w:val="en-US" w:eastAsia="zh-CN"/>
        </w:rPr>
      </w:pPr>
      <w:r>
        <w:rPr>
          <w:rFonts w:hint="default"/>
          <w:bCs/>
          <w:lang w:val="en-US" w:eastAsia="zh-CN"/>
        </w:rPr>
        <w:t>水土流失总治理度（%）=水土保持措施面积/建设区水土流失总面积×100%</w:t>
      </w:r>
    </w:p>
    <w:p>
      <w:pPr>
        <w:pStyle w:val="43"/>
        <w:adjustRightInd/>
        <w:snapToGrid/>
        <w:ind w:firstLine="480"/>
        <w:rPr>
          <w:rFonts w:hint="default"/>
          <w:bCs/>
          <w:lang w:val="en-US" w:eastAsia="zh-CN"/>
        </w:rPr>
      </w:pPr>
      <w:r>
        <w:rPr>
          <w:rFonts w:hint="default"/>
          <w:bCs/>
          <w:lang w:val="en-US" w:eastAsia="zh-CN"/>
        </w:rPr>
        <w:t>根据建设期间采取的防治措施，本工程水土流失治理度达</w:t>
      </w:r>
      <w:r>
        <w:rPr>
          <w:rFonts w:hint="eastAsia"/>
          <w:bCs/>
          <w:lang w:val="en-US" w:eastAsia="zh-CN"/>
        </w:rPr>
        <w:t>99.69</w:t>
      </w:r>
      <w:r>
        <w:rPr>
          <w:rFonts w:hint="default"/>
          <w:bCs/>
          <w:lang w:val="en-US" w:eastAsia="zh-CN"/>
        </w:rPr>
        <w:t>%。</w:t>
      </w:r>
    </w:p>
    <w:p>
      <w:pPr>
        <w:snapToGrid w:val="0"/>
        <w:spacing w:before="156" w:beforeLines="50"/>
        <w:jc w:val="right"/>
        <w:rPr>
          <w:rFonts w:ascii="Times New Roman" w:hAnsi="Times New Roman" w:eastAsia="仿宋_GB2312"/>
          <w:b/>
          <w:sz w:val="24"/>
        </w:rPr>
      </w:pPr>
      <w:r>
        <w:rPr>
          <w:rFonts w:ascii="Times New Roman" w:hAnsi="Times New Roman" w:eastAsia="仿宋_GB2312"/>
          <w:b/>
          <w:bCs/>
          <w:sz w:val="24"/>
        </w:rPr>
        <w:t>表</w:t>
      </w:r>
      <w:r>
        <w:rPr>
          <w:rFonts w:hint="eastAsia" w:ascii="Times New Roman" w:hAnsi="Times New Roman" w:eastAsia="仿宋_GB2312"/>
          <w:b/>
          <w:bCs/>
          <w:sz w:val="24"/>
          <w:lang w:val="en-US" w:eastAsia="zh-CN"/>
        </w:rPr>
        <w:t>8-5</w:t>
      </w:r>
      <w:r>
        <w:rPr>
          <w:rFonts w:ascii="Times New Roman" w:hAnsi="Times New Roman" w:eastAsia="仿宋_GB2312"/>
          <w:b/>
          <w:bCs/>
          <w:sz w:val="24"/>
        </w:rPr>
        <w:t xml:space="preserve">  工程建设期水土保持措施防治总面积</w:t>
      </w:r>
      <w:r>
        <w:rPr>
          <w:rFonts w:ascii="Times New Roman" w:hAnsi="Times New Roman" w:eastAsia="仿宋_GB2312"/>
          <w:b/>
          <w:sz w:val="24"/>
        </w:rPr>
        <w:t xml:space="preserve">          单位：hm</w:t>
      </w:r>
      <w:r>
        <w:rPr>
          <w:rFonts w:ascii="Times New Roman" w:hAnsi="Times New Roman" w:eastAsia="仿宋_GB2312"/>
          <w:b/>
          <w:sz w:val="24"/>
          <w:vertAlign w:val="superscript"/>
        </w:rPr>
        <w:t>2</w:t>
      </w:r>
    </w:p>
    <w:tbl>
      <w:tblPr>
        <w:tblStyle w:val="2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2058"/>
        <w:gridCol w:w="1295"/>
        <w:gridCol w:w="1295"/>
        <w:gridCol w:w="1295"/>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序号</w:t>
            </w:r>
          </w:p>
        </w:tc>
        <w:tc>
          <w:tcPr>
            <w:tcW w:w="2058"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项目区</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扰动面积</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林草措施</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工程措施</w:t>
            </w:r>
          </w:p>
        </w:tc>
        <w:tc>
          <w:tcPr>
            <w:tcW w:w="1801"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建（构）筑物</w:t>
            </w:r>
          </w:p>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及铺装面积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ascii="Times New Roman" w:hAnsi="Times New Roman" w:eastAsia="仿宋_GB2312"/>
                <w:sz w:val="20"/>
                <w:szCs w:val="20"/>
              </w:rPr>
            </w:pPr>
            <w:r>
              <w:rPr>
                <w:rFonts w:ascii="Times New Roman" w:hAnsi="Times New Roman" w:eastAsia="仿宋_GB2312"/>
                <w:sz w:val="20"/>
                <w:szCs w:val="20"/>
              </w:rPr>
              <w:t>1</w:t>
            </w:r>
          </w:p>
        </w:tc>
        <w:tc>
          <w:tcPr>
            <w:tcW w:w="2058" w:type="dxa"/>
            <w:noWrap w:val="0"/>
            <w:vAlign w:val="center"/>
          </w:tcPr>
          <w:p>
            <w:pPr>
              <w:keepNext w:val="0"/>
              <w:keepLines w:val="0"/>
              <w:widowControl/>
              <w:suppressLineNumbers w:val="0"/>
              <w:jc w:val="center"/>
              <w:textAlignment w:val="center"/>
              <w:rPr>
                <w:rFonts w:hint="eastAsia" w:ascii="Times New Roman" w:hAnsi="Times New Roman"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工业场地</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i w:val="0"/>
                <w:color w:val="000000"/>
                <w:kern w:val="0"/>
                <w:sz w:val="21"/>
                <w:szCs w:val="21"/>
                <w:u w:val="none"/>
                <w:lang w:val="en-US" w:eastAsia="zh-CN" w:bidi="ar"/>
              </w:rPr>
              <w:t>3.24</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0.41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0.03</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2</w:t>
            </w:r>
          </w:p>
        </w:tc>
        <w:tc>
          <w:tcPr>
            <w:tcW w:w="2058" w:type="dxa"/>
            <w:noWrap w:val="0"/>
            <w:vAlign w:val="center"/>
          </w:tcPr>
          <w:p>
            <w:pPr>
              <w:keepNext w:val="0"/>
              <w:keepLines w:val="0"/>
              <w:widowControl/>
              <w:suppressLineNumbers w:val="0"/>
              <w:jc w:val="center"/>
              <w:textAlignment w:val="center"/>
              <w:rPr>
                <w:rFonts w:hint="eastAsia"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进场道路</w:t>
            </w:r>
          </w:p>
        </w:tc>
        <w:tc>
          <w:tcPr>
            <w:tcW w:w="1295" w:type="dxa"/>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3</w:t>
            </w:r>
          </w:p>
        </w:tc>
        <w:tc>
          <w:tcPr>
            <w:tcW w:w="2058" w:type="dxa"/>
            <w:noWrap w:val="0"/>
            <w:vAlign w:val="center"/>
          </w:tcPr>
          <w:p>
            <w:pPr>
              <w:keepNext w:val="0"/>
              <w:keepLines w:val="0"/>
              <w:widowControl/>
              <w:suppressLineNumbers w:val="0"/>
              <w:jc w:val="center"/>
              <w:textAlignment w:val="center"/>
              <w:rPr>
                <w:rFonts w:hint="eastAsia"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供水管线</w:t>
            </w:r>
          </w:p>
        </w:tc>
        <w:tc>
          <w:tcPr>
            <w:tcW w:w="1295" w:type="dxa"/>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0.03</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0.03</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784" w:type="dxa"/>
            <w:noWrap w:val="0"/>
            <w:vAlign w:val="center"/>
          </w:tcPr>
          <w:p>
            <w:pPr>
              <w:widowControl/>
              <w:spacing w:line="240" w:lineRule="exact"/>
              <w:jc w:val="center"/>
              <w:rPr>
                <w:rFonts w:ascii="Times New Roman" w:hAnsi="Times New Roman" w:eastAsia="仿宋_GB2312"/>
                <w:kern w:val="0"/>
                <w:sz w:val="20"/>
                <w:szCs w:val="20"/>
              </w:rPr>
            </w:pPr>
          </w:p>
        </w:tc>
        <w:tc>
          <w:tcPr>
            <w:tcW w:w="2058" w:type="dxa"/>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合计</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b/>
                <w:i w:val="0"/>
                <w:color w:val="000000"/>
                <w:kern w:val="0"/>
                <w:sz w:val="21"/>
                <w:szCs w:val="21"/>
                <w:u w:val="none"/>
                <w:lang w:val="en-US" w:eastAsia="zh-CN" w:bidi="ar"/>
              </w:rPr>
              <w:t>3.28</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0.44</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0.03</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水保措施面积</w:t>
            </w:r>
          </w:p>
        </w:tc>
        <w:tc>
          <w:tcPr>
            <w:tcW w:w="2590" w:type="dxa"/>
            <w:gridSpan w:val="2"/>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0.47</w:t>
            </w:r>
          </w:p>
        </w:tc>
        <w:tc>
          <w:tcPr>
            <w:tcW w:w="1801"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水土流失总治理度(%)</w:t>
            </w:r>
          </w:p>
        </w:tc>
        <w:tc>
          <w:tcPr>
            <w:tcW w:w="4391"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99.69</w:t>
            </w:r>
          </w:p>
        </w:tc>
      </w:tr>
    </w:tbl>
    <w:p>
      <w:pPr>
        <w:pStyle w:val="43"/>
        <w:adjustRightInd/>
        <w:snapToGrid/>
        <w:ind w:firstLine="480"/>
        <w:rPr>
          <w:rFonts w:hint="default"/>
          <w:bCs/>
          <w:lang w:val="en-US" w:eastAsia="zh-CN"/>
        </w:rPr>
      </w:pPr>
    </w:p>
    <w:p>
      <w:pPr>
        <w:pStyle w:val="43"/>
        <w:adjustRightInd/>
        <w:snapToGrid/>
        <w:ind w:firstLine="480"/>
        <w:rPr>
          <w:rFonts w:hint="default"/>
          <w:bCs/>
          <w:lang w:val="en-US" w:eastAsia="zh-CN"/>
        </w:rPr>
      </w:pPr>
      <w:r>
        <w:rPr>
          <w:rFonts w:hint="default"/>
          <w:bCs/>
          <w:lang w:val="en-US" w:eastAsia="zh-CN"/>
        </w:rPr>
        <w:t>2</w:t>
      </w:r>
      <w:r>
        <w:rPr>
          <w:rFonts w:hint="eastAsia"/>
          <w:bCs/>
          <w:lang w:val="en-US" w:eastAsia="zh-CN"/>
        </w:rPr>
        <w:t>）</w:t>
      </w:r>
      <w:r>
        <w:rPr>
          <w:rFonts w:hint="default"/>
          <w:bCs/>
          <w:lang w:val="en-US" w:eastAsia="zh-CN"/>
        </w:rPr>
        <w:t>土壤流失控制比</w:t>
      </w:r>
    </w:p>
    <w:p>
      <w:pPr>
        <w:pStyle w:val="43"/>
        <w:adjustRightInd/>
        <w:snapToGrid/>
        <w:ind w:firstLine="480"/>
        <w:rPr>
          <w:rFonts w:hint="default"/>
          <w:bCs/>
          <w:lang w:val="en-US" w:eastAsia="zh-CN"/>
        </w:rPr>
      </w:pPr>
      <w:r>
        <w:rPr>
          <w:rFonts w:hint="default"/>
          <w:bCs/>
          <w:lang w:val="en-US" w:eastAsia="zh-CN"/>
        </w:rPr>
        <w:t>项目区土壤容许流失量为1000t/km</w:t>
      </w:r>
      <w:r>
        <w:rPr>
          <w:rFonts w:hint="default"/>
          <w:bCs/>
          <w:vertAlign w:val="superscript"/>
          <w:lang w:val="en-US" w:eastAsia="zh-CN"/>
        </w:rPr>
        <w:t>2</w:t>
      </w:r>
      <w:r>
        <w:rPr>
          <w:rFonts w:hint="default"/>
          <w:bCs/>
          <w:lang w:val="en-US" w:eastAsia="zh-CN"/>
        </w:rPr>
        <w:t>•a。本工程在采取完善的水土保持措施以后，工程占地范围内的平均土壤流失量为</w:t>
      </w:r>
      <w:r>
        <w:rPr>
          <w:rFonts w:hint="eastAsia"/>
          <w:bCs/>
          <w:lang w:val="en-US" w:eastAsia="zh-CN"/>
        </w:rPr>
        <w:t>1000</w:t>
      </w:r>
      <w:r>
        <w:rPr>
          <w:rFonts w:hint="default"/>
          <w:bCs/>
          <w:lang w:val="en-US" w:eastAsia="zh-CN"/>
        </w:rPr>
        <w:t>t/km</w:t>
      </w:r>
      <w:r>
        <w:rPr>
          <w:rFonts w:hint="default"/>
          <w:bCs/>
          <w:vertAlign w:val="superscript"/>
          <w:lang w:val="en-US" w:eastAsia="zh-CN"/>
        </w:rPr>
        <w:t>2</w:t>
      </w:r>
      <w:r>
        <w:rPr>
          <w:rFonts w:hint="default"/>
          <w:bCs/>
          <w:lang w:val="en-US" w:eastAsia="zh-CN"/>
        </w:rPr>
        <w:t>•a，水土流失控制比为1.</w:t>
      </w:r>
      <w:r>
        <w:rPr>
          <w:rFonts w:hint="eastAsia"/>
          <w:bCs/>
          <w:lang w:val="en-US" w:eastAsia="zh-CN"/>
        </w:rPr>
        <w:t>0</w:t>
      </w:r>
      <w:r>
        <w:rPr>
          <w:rFonts w:hint="default"/>
          <w:bCs/>
          <w:lang w:val="en-US" w:eastAsia="zh-CN"/>
        </w:rPr>
        <w:t>。</w:t>
      </w:r>
    </w:p>
    <w:p>
      <w:pPr>
        <w:pStyle w:val="43"/>
        <w:adjustRightInd/>
        <w:snapToGrid/>
        <w:ind w:firstLine="480"/>
        <w:rPr>
          <w:rFonts w:hint="default"/>
          <w:bCs/>
          <w:lang w:val="en-US" w:eastAsia="zh-CN"/>
        </w:rPr>
      </w:pPr>
      <w:r>
        <w:rPr>
          <w:rFonts w:hint="default"/>
          <w:bCs/>
          <w:lang w:val="en-US" w:eastAsia="zh-CN"/>
        </w:rPr>
        <w:t>3</w:t>
      </w:r>
      <w:r>
        <w:rPr>
          <w:rFonts w:hint="eastAsia"/>
          <w:bCs/>
          <w:lang w:val="en-US" w:eastAsia="zh-CN"/>
        </w:rPr>
        <w:t>）</w:t>
      </w:r>
      <w:r>
        <w:rPr>
          <w:rFonts w:hint="default"/>
          <w:bCs/>
          <w:lang w:val="en-US" w:eastAsia="zh-CN"/>
        </w:rPr>
        <w:t>渣土防护率</w:t>
      </w:r>
    </w:p>
    <w:p>
      <w:pPr>
        <w:pStyle w:val="43"/>
        <w:adjustRightInd/>
        <w:snapToGrid/>
        <w:ind w:firstLine="480"/>
        <w:rPr>
          <w:rFonts w:hint="default"/>
          <w:bCs/>
          <w:lang w:val="en-US" w:eastAsia="zh-CN"/>
        </w:rPr>
      </w:pPr>
      <w:r>
        <w:rPr>
          <w:rFonts w:hint="default"/>
          <w:bCs/>
          <w:lang w:val="en-US" w:eastAsia="zh-CN"/>
        </w:rPr>
        <w:t>根据建设单位提供资料，本项目建设期动用土石方量为</w:t>
      </w:r>
      <w:r>
        <w:rPr>
          <w:rFonts w:hint="eastAsia"/>
          <w:bCs/>
          <w:lang w:val="en-US" w:eastAsia="zh-CN"/>
        </w:rPr>
        <w:t>1.5</w:t>
      </w:r>
      <w:r>
        <w:rPr>
          <w:rFonts w:hint="default"/>
          <w:bCs/>
          <w:lang w:val="en-US" w:eastAsia="zh-CN"/>
        </w:rPr>
        <w:t>万m</w:t>
      </w:r>
      <w:r>
        <w:rPr>
          <w:rFonts w:hint="default"/>
          <w:bCs/>
          <w:vertAlign w:val="superscript"/>
          <w:lang w:val="en-US" w:eastAsia="zh-CN"/>
        </w:rPr>
        <w:t>3</w:t>
      </w:r>
      <w:r>
        <w:rPr>
          <w:rFonts w:hint="default"/>
          <w:bCs/>
          <w:lang w:val="en-US" w:eastAsia="zh-CN"/>
        </w:rPr>
        <w:t>，其中土方开挖</w:t>
      </w:r>
      <w:r>
        <w:rPr>
          <w:rFonts w:hint="eastAsia"/>
          <w:bCs/>
          <w:lang w:val="en-US" w:eastAsia="zh-CN"/>
        </w:rPr>
        <w:t>0.75</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，土方回填</w:t>
      </w:r>
      <w:r>
        <w:rPr>
          <w:rFonts w:hint="eastAsia"/>
          <w:bCs/>
          <w:lang w:val="en-US" w:eastAsia="zh-CN"/>
        </w:rPr>
        <w:t>0.75</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，无弃方。</w:t>
      </w:r>
      <w:r>
        <w:rPr>
          <w:rFonts w:hint="eastAsia"/>
          <w:bCs/>
          <w:lang w:val="en-US" w:eastAsia="zh-CN"/>
        </w:rPr>
        <w:t>项目生产过程无弃渣</w:t>
      </w:r>
      <w:r>
        <w:rPr>
          <w:rFonts w:hint="default"/>
          <w:bCs/>
          <w:lang w:val="en-US" w:eastAsia="zh-CN"/>
        </w:rPr>
        <w:t>产生，因此，渣土防护率可达99%。</w:t>
      </w:r>
    </w:p>
    <w:p>
      <w:pPr>
        <w:pStyle w:val="43"/>
        <w:adjustRightInd/>
        <w:snapToGrid/>
        <w:ind w:firstLine="480"/>
        <w:rPr>
          <w:rFonts w:hint="default"/>
          <w:bCs/>
          <w:lang w:val="en-US" w:eastAsia="zh-CN"/>
        </w:rPr>
      </w:pPr>
      <w:r>
        <w:rPr>
          <w:rFonts w:hint="default"/>
          <w:bCs/>
          <w:lang w:val="en-US" w:eastAsia="zh-CN"/>
        </w:rPr>
        <w:t>4</w:t>
      </w:r>
      <w:r>
        <w:rPr>
          <w:rFonts w:hint="eastAsia"/>
          <w:bCs/>
          <w:lang w:val="en-US" w:eastAsia="zh-CN"/>
        </w:rPr>
        <w:t>）</w:t>
      </w:r>
      <w:r>
        <w:rPr>
          <w:rFonts w:hint="default"/>
          <w:bCs/>
          <w:lang w:val="en-US" w:eastAsia="zh-CN"/>
        </w:rPr>
        <w:t>表土防护率</w:t>
      </w:r>
    </w:p>
    <w:p>
      <w:pPr>
        <w:pStyle w:val="43"/>
        <w:adjustRightInd/>
        <w:snapToGrid/>
        <w:ind w:firstLine="480"/>
        <w:rPr>
          <w:rFonts w:hint="default"/>
          <w:bCs/>
          <w:lang w:val="en-US" w:eastAsia="zh-CN"/>
        </w:rPr>
      </w:pPr>
      <w:r>
        <w:rPr>
          <w:rFonts w:hint="default"/>
          <w:bCs/>
          <w:lang w:val="en-US" w:eastAsia="zh-CN"/>
        </w:rPr>
        <w:t>根据调查，本项目在建设过程中剥离的表土全部用于回填及绿化，表土防护率可达98%。</w:t>
      </w:r>
    </w:p>
    <w:p>
      <w:pPr>
        <w:pStyle w:val="43"/>
        <w:adjustRightInd/>
        <w:snapToGrid/>
        <w:ind w:firstLine="480"/>
        <w:rPr>
          <w:rFonts w:hint="default"/>
          <w:bCs/>
          <w:lang w:val="en-US" w:eastAsia="zh-CN"/>
        </w:rPr>
      </w:pPr>
      <w:r>
        <w:rPr>
          <w:rFonts w:hint="default"/>
          <w:bCs/>
          <w:lang w:val="en-US" w:eastAsia="zh-CN"/>
        </w:rPr>
        <w:t>5</w:t>
      </w:r>
      <w:r>
        <w:rPr>
          <w:rFonts w:hint="eastAsia"/>
          <w:bCs/>
          <w:lang w:val="en-US" w:eastAsia="zh-CN"/>
        </w:rPr>
        <w:t>）</w:t>
      </w:r>
      <w:r>
        <w:rPr>
          <w:rFonts w:hint="default"/>
          <w:bCs/>
          <w:lang w:val="en-US" w:eastAsia="zh-CN"/>
        </w:rPr>
        <w:t>林草植被恢复率</w:t>
      </w:r>
    </w:p>
    <w:p>
      <w:pPr>
        <w:pStyle w:val="43"/>
        <w:adjustRightInd/>
        <w:snapToGrid/>
        <w:ind w:firstLine="480"/>
        <w:rPr>
          <w:rFonts w:hint="default"/>
          <w:bCs/>
          <w:lang w:val="en-US" w:eastAsia="zh-CN"/>
        </w:rPr>
      </w:pPr>
      <w:r>
        <w:rPr>
          <w:rFonts w:hint="default"/>
          <w:bCs/>
          <w:lang w:val="en-US" w:eastAsia="zh-CN"/>
        </w:rPr>
        <w:t>林草植被恢复率=林草植被面积/可恢复林草植被面积×100%</w:t>
      </w:r>
    </w:p>
    <w:p>
      <w:pPr>
        <w:pStyle w:val="43"/>
        <w:adjustRightInd/>
        <w:snapToGrid/>
        <w:ind w:firstLine="480"/>
        <w:rPr>
          <w:rFonts w:hint="default"/>
          <w:bCs/>
          <w:lang w:val="en-US" w:eastAsia="zh-CN"/>
        </w:rPr>
      </w:pPr>
      <w:r>
        <w:rPr>
          <w:rFonts w:hint="default"/>
          <w:bCs/>
          <w:lang w:val="en-US" w:eastAsia="zh-CN"/>
        </w:rPr>
        <w:t>工程建设结束后，本方案设计中对所有扰动的地表进行土地平整及恢复植被，针对可绿化的区域，除少部分难利用的土地以外全部采取植物措施进行绿化，本工程所采取的植物措施总面积为</w:t>
      </w:r>
      <w:r>
        <w:rPr>
          <w:rFonts w:hint="eastAsia"/>
          <w:bCs/>
          <w:lang w:val="en-US" w:eastAsia="zh-CN"/>
        </w:rPr>
        <w:t>0.41</w:t>
      </w:r>
      <w:r>
        <w:rPr>
          <w:rFonts w:hint="default"/>
          <w:bCs/>
          <w:lang w:val="en-US" w:eastAsia="zh-CN"/>
        </w:rPr>
        <w:t>hm</w:t>
      </w:r>
      <w:r>
        <w:rPr>
          <w:rFonts w:hint="default"/>
          <w:bCs/>
          <w:vertAlign w:val="superscript"/>
          <w:lang w:val="en-US" w:eastAsia="zh-CN"/>
        </w:rPr>
        <w:t>2</w:t>
      </w:r>
      <w:r>
        <w:rPr>
          <w:rFonts w:hint="default"/>
          <w:bCs/>
          <w:lang w:val="en-US" w:eastAsia="zh-CN"/>
        </w:rPr>
        <w:t>，可绿化面积为</w:t>
      </w:r>
      <w:r>
        <w:rPr>
          <w:rFonts w:hint="eastAsia"/>
          <w:bCs/>
          <w:lang w:val="en-US" w:eastAsia="zh-CN"/>
        </w:rPr>
        <w:t>0.42</w:t>
      </w:r>
      <w:r>
        <w:rPr>
          <w:rFonts w:hint="default"/>
          <w:bCs/>
          <w:lang w:val="en-US" w:eastAsia="zh-CN"/>
        </w:rPr>
        <w:t>m</w:t>
      </w:r>
      <w:r>
        <w:rPr>
          <w:rFonts w:hint="default"/>
          <w:bCs/>
          <w:vertAlign w:val="superscript"/>
          <w:lang w:val="en-US" w:eastAsia="zh-CN"/>
        </w:rPr>
        <w:t>2</w:t>
      </w:r>
      <w:r>
        <w:rPr>
          <w:rFonts w:hint="default"/>
          <w:bCs/>
          <w:lang w:val="en-US" w:eastAsia="zh-CN"/>
        </w:rPr>
        <w:t>，因此，林草植被恢复率将达到</w:t>
      </w:r>
      <w:r>
        <w:rPr>
          <w:rFonts w:hint="eastAsia"/>
          <w:bCs/>
          <w:lang w:val="en-US" w:eastAsia="zh-CN"/>
        </w:rPr>
        <w:t>97.61</w:t>
      </w:r>
      <w:r>
        <w:rPr>
          <w:rFonts w:hint="default"/>
          <w:bCs/>
          <w:lang w:val="en-US" w:eastAsia="zh-CN"/>
        </w:rPr>
        <w:t>%。</w:t>
      </w:r>
    </w:p>
    <w:p>
      <w:pPr>
        <w:pStyle w:val="43"/>
        <w:adjustRightInd/>
        <w:snapToGrid/>
        <w:ind w:firstLine="480"/>
        <w:rPr>
          <w:rFonts w:hint="default"/>
          <w:bCs/>
          <w:lang w:val="en-US" w:eastAsia="zh-CN"/>
        </w:rPr>
      </w:pPr>
      <w:r>
        <w:rPr>
          <w:rFonts w:hint="default"/>
          <w:bCs/>
          <w:lang w:val="en-US" w:eastAsia="zh-CN"/>
        </w:rPr>
        <w:t>6</w:t>
      </w:r>
      <w:r>
        <w:rPr>
          <w:rFonts w:hint="eastAsia"/>
          <w:bCs/>
          <w:lang w:val="en-US" w:eastAsia="zh-CN"/>
        </w:rPr>
        <w:t>）</w:t>
      </w:r>
      <w:r>
        <w:rPr>
          <w:rFonts w:hint="default"/>
          <w:bCs/>
          <w:lang w:val="en-US" w:eastAsia="zh-CN"/>
        </w:rPr>
        <w:t>林草覆盖率</w:t>
      </w:r>
    </w:p>
    <w:p>
      <w:pPr>
        <w:pStyle w:val="43"/>
        <w:adjustRightInd/>
        <w:snapToGrid/>
        <w:ind w:firstLine="480"/>
        <w:rPr>
          <w:rFonts w:hint="default"/>
          <w:bCs/>
          <w:lang w:val="en-US" w:eastAsia="zh-CN"/>
        </w:rPr>
      </w:pPr>
      <w:r>
        <w:rPr>
          <w:rFonts w:hint="default"/>
          <w:bCs/>
          <w:lang w:val="en-US" w:eastAsia="zh-CN"/>
        </w:rPr>
        <w:t>林草覆盖率=林草植被面积/项目建设区总面积×100%</w:t>
      </w:r>
    </w:p>
    <w:p>
      <w:pPr>
        <w:widowControl/>
        <w:spacing w:line="360" w:lineRule="auto"/>
        <w:jc w:val="both"/>
        <w:rPr>
          <w:rFonts w:hint="default"/>
          <w:bCs/>
          <w:lang w:val="en-US" w:eastAsia="zh-CN"/>
        </w:rPr>
      </w:pPr>
      <w:r>
        <w:rPr>
          <w:rFonts w:hint="default"/>
          <w:bCs/>
          <w:lang w:val="en-US" w:eastAsia="zh-CN"/>
        </w:rPr>
        <w:t>本工程占地面积</w:t>
      </w:r>
      <w:r>
        <w:rPr>
          <w:rFonts w:hint="eastAsia"/>
          <w:bCs/>
          <w:lang w:val="en-US" w:eastAsia="zh-CN"/>
        </w:rPr>
        <w:t>3.28</w:t>
      </w:r>
      <w:r>
        <w:rPr>
          <w:rFonts w:hint="default"/>
          <w:bCs/>
          <w:lang w:val="en-US" w:eastAsia="zh-CN"/>
        </w:rPr>
        <w:t>hm</w:t>
      </w:r>
      <w:r>
        <w:rPr>
          <w:rFonts w:hint="default"/>
          <w:bCs/>
          <w:vertAlign w:val="superscript"/>
          <w:lang w:val="en-US" w:eastAsia="zh-CN"/>
        </w:rPr>
        <w:t>2</w:t>
      </w:r>
      <w:r>
        <w:rPr>
          <w:rFonts w:hint="default"/>
          <w:bCs/>
          <w:lang w:val="en-US" w:eastAsia="zh-CN"/>
        </w:rPr>
        <w:t>，绿化面积</w:t>
      </w:r>
      <w:r>
        <w:rPr>
          <w:rFonts w:hint="eastAsia"/>
          <w:bCs/>
          <w:lang w:val="en-US" w:eastAsia="zh-CN"/>
        </w:rPr>
        <w:t>0.44</w:t>
      </w:r>
      <w:r>
        <w:rPr>
          <w:rFonts w:hint="default"/>
          <w:bCs/>
          <w:lang w:val="en-US" w:eastAsia="zh-CN"/>
        </w:rPr>
        <w:t>hm</w:t>
      </w:r>
      <w:r>
        <w:rPr>
          <w:rFonts w:hint="default"/>
          <w:bCs/>
          <w:vertAlign w:val="superscript"/>
          <w:lang w:val="en-US" w:eastAsia="zh-CN"/>
        </w:rPr>
        <w:t>2</w:t>
      </w:r>
      <w:r>
        <w:rPr>
          <w:rFonts w:hint="default"/>
          <w:bCs/>
          <w:lang w:val="en-US" w:eastAsia="zh-CN"/>
        </w:rPr>
        <w:t>，林草覆盖率达到</w:t>
      </w:r>
      <w:r>
        <w:rPr>
          <w:rFonts w:hint="eastAsia"/>
          <w:bCs/>
          <w:lang w:val="en-US" w:eastAsia="zh-CN"/>
        </w:rPr>
        <w:t>13.4</w:t>
      </w:r>
      <w:r>
        <w:rPr>
          <w:rFonts w:hint="default"/>
          <w:bCs/>
          <w:lang w:val="en-US" w:eastAsia="zh-CN"/>
        </w:rPr>
        <w:t>%。</w:t>
      </w:r>
    </w:p>
    <w:p>
      <w:pPr>
        <w:pStyle w:val="43"/>
        <w:adjustRightInd/>
        <w:snapToGrid/>
        <w:ind w:left="0" w:leftChars="0" w:firstLine="0" w:firstLineChars="0"/>
        <w:rPr>
          <w:rFonts w:hint="default"/>
          <w:bCs/>
          <w:lang w:val="en-US" w:eastAsia="zh-CN"/>
        </w:rPr>
      </w:pPr>
    </w:p>
    <w:sectPr>
      <w:headerReference r:id="rId6"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s Roman">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魏碑简体">
    <w:altName w:val="微软雅黑"/>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97717"/>
      <w:docPartObj>
        <w:docPartGallery w:val="autotext"/>
      </w:docPartObj>
    </w:sdtPr>
    <w:sdtEndPr>
      <w:rPr>
        <w:sz w:val="21"/>
        <w:szCs w:val="21"/>
      </w:rPr>
    </w:sdtEndPr>
    <w:sdtContent>
      <w:p>
        <w:pPr>
          <w:pStyle w:val="1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11 -</w:t>
        </w:r>
        <w:r>
          <w:rPr>
            <w:sz w:val="21"/>
            <w:szCs w:val="21"/>
          </w:rPr>
          <w:fldChar w:fldCharType="end"/>
        </w:r>
      </w:p>
    </w:sdtContent>
  </w:sdt>
  <w:p>
    <w:pPr>
      <w:pStyle w:val="1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3724E"/>
    <w:multiLevelType w:val="singleLevel"/>
    <w:tmpl w:val="2603724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01E0D"/>
    <w:rsid w:val="000004B5"/>
    <w:rsid w:val="00001AE7"/>
    <w:rsid w:val="00003CA0"/>
    <w:rsid w:val="000043F0"/>
    <w:rsid w:val="0000529C"/>
    <w:rsid w:val="000055CC"/>
    <w:rsid w:val="00007B97"/>
    <w:rsid w:val="00007DC7"/>
    <w:rsid w:val="0001034D"/>
    <w:rsid w:val="0001054D"/>
    <w:rsid w:val="0001240F"/>
    <w:rsid w:val="00014C0A"/>
    <w:rsid w:val="00016474"/>
    <w:rsid w:val="00017E26"/>
    <w:rsid w:val="00020A75"/>
    <w:rsid w:val="000213FA"/>
    <w:rsid w:val="000220B1"/>
    <w:rsid w:val="000226FE"/>
    <w:rsid w:val="00022982"/>
    <w:rsid w:val="00023450"/>
    <w:rsid w:val="000237A4"/>
    <w:rsid w:val="00023E7B"/>
    <w:rsid w:val="000249E4"/>
    <w:rsid w:val="00024A9E"/>
    <w:rsid w:val="00024B4F"/>
    <w:rsid w:val="00024CBA"/>
    <w:rsid w:val="00025095"/>
    <w:rsid w:val="00025448"/>
    <w:rsid w:val="00025DA3"/>
    <w:rsid w:val="00026314"/>
    <w:rsid w:val="00031657"/>
    <w:rsid w:val="00031859"/>
    <w:rsid w:val="00033758"/>
    <w:rsid w:val="0003396A"/>
    <w:rsid w:val="00035531"/>
    <w:rsid w:val="00037798"/>
    <w:rsid w:val="000379C5"/>
    <w:rsid w:val="0004058E"/>
    <w:rsid w:val="00040872"/>
    <w:rsid w:val="00041DAA"/>
    <w:rsid w:val="0004279B"/>
    <w:rsid w:val="00043F08"/>
    <w:rsid w:val="00043F18"/>
    <w:rsid w:val="0004400E"/>
    <w:rsid w:val="000441ED"/>
    <w:rsid w:val="0004551C"/>
    <w:rsid w:val="00045644"/>
    <w:rsid w:val="000456A7"/>
    <w:rsid w:val="000461E2"/>
    <w:rsid w:val="00046207"/>
    <w:rsid w:val="00046C99"/>
    <w:rsid w:val="00051424"/>
    <w:rsid w:val="00052340"/>
    <w:rsid w:val="000523C4"/>
    <w:rsid w:val="00052C3F"/>
    <w:rsid w:val="00053CB0"/>
    <w:rsid w:val="00054D33"/>
    <w:rsid w:val="00055138"/>
    <w:rsid w:val="0005555C"/>
    <w:rsid w:val="000555F6"/>
    <w:rsid w:val="00055686"/>
    <w:rsid w:val="00055807"/>
    <w:rsid w:val="000559AE"/>
    <w:rsid w:val="000559E6"/>
    <w:rsid w:val="000568AD"/>
    <w:rsid w:val="00060386"/>
    <w:rsid w:val="00060DAA"/>
    <w:rsid w:val="00060FE3"/>
    <w:rsid w:val="00062DB5"/>
    <w:rsid w:val="0006356E"/>
    <w:rsid w:val="00064BB2"/>
    <w:rsid w:val="00064C53"/>
    <w:rsid w:val="00065322"/>
    <w:rsid w:val="0006717D"/>
    <w:rsid w:val="00070A76"/>
    <w:rsid w:val="0007138B"/>
    <w:rsid w:val="00071BBB"/>
    <w:rsid w:val="00071DAF"/>
    <w:rsid w:val="000741D9"/>
    <w:rsid w:val="000751AD"/>
    <w:rsid w:val="00075867"/>
    <w:rsid w:val="0007597E"/>
    <w:rsid w:val="000774B4"/>
    <w:rsid w:val="000806CE"/>
    <w:rsid w:val="00080EA9"/>
    <w:rsid w:val="00080EDC"/>
    <w:rsid w:val="0008130C"/>
    <w:rsid w:val="00081813"/>
    <w:rsid w:val="0008211B"/>
    <w:rsid w:val="00082319"/>
    <w:rsid w:val="00082381"/>
    <w:rsid w:val="00083B4C"/>
    <w:rsid w:val="0008433C"/>
    <w:rsid w:val="00084B53"/>
    <w:rsid w:val="00086B82"/>
    <w:rsid w:val="00087B47"/>
    <w:rsid w:val="00092CEA"/>
    <w:rsid w:val="00093295"/>
    <w:rsid w:val="00093504"/>
    <w:rsid w:val="00093FE5"/>
    <w:rsid w:val="000945F9"/>
    <w:rsid w:val="00095167"/>
    <w:rsid w:val="00095EA5"/>
    <w:rsid w:val="0009701F"/>
    <w:rsid w:val="00097B6C"/>
    <w:rsid w:val="000A13B4"/>
    <w:rsid w:val="000A1732"/>
    <w:rsid w:val="000A2E3B"/>
    <w:rsid w:val="000A38A1"/>
    <w:rsid w:val="000A38DE"/>
    <w:rsid w:val="000A3A39"/>
    <w:rsid w:val="000A4631"/>
    <w:rsid w:val="000A684A"/>
    <w:rsid w:val="000A6A02"/>
    <w:rsid w:val="000A74CF"/>
    <w:rsid w:val="000B00E6"/>
    <w:rsid w:val="000B083D"/>
    <w:rsid w:val="000B0F74"/>
    <w:rsid w:val="000B1A00"/>
    <w:rsid w:val="000B1DAB"/>
    <w:rsid w:val="000B27E8"/>
    <w:rsid w:val="000B37CE"/>
    <w:rsid w:val="000B3BA5"/>
    <w:rsid w:val="000B3CEF"/>
    <w:rsid w:val="000B5401"/>
    <w:rsid w:val="000B62F5"/>
    <w:rsid w:val="000B6BD6"/>
    <w:rsid w:val="000B7E4C"/>
    <w:rsid w:val="000C0AA1"/>
    <w:rsid w:val="000C1607"/>
    <w:rsid w:val="000C20A6"/>
    <w:rsid w:val="000C2849"/>
    <w:rsid w:val="000C3763"/>
    <w:rsid w:val="000C558D"/>
    <w:rsid w:val="000C5CFC"/>
    <w:rsid w:val="000C5F7A"/>
    <w:rsid w:val="000C6230"/>
    <w:rsid w:val="000D0C0B"/>
    <w:rsid w:val="000D114E"/>
    <w:rsid w:val="000D251B"/>
    <w:rsid w:val="000D29BD"/>
    <w:rsid w:val="000D33C3"/>
    <w:rsid w:val="000D41A0"/>
    <w:rsid w:val="000D4973"/>
    <w:rsid w:val="000D5818"/>
    <w:rsid w:val="000D5899"/>
    <w:rsid w:val="000D5C1B"/>
    <w:rsid w:val="000D6452"/>
    <w:rsid w:val="000D674F"/>
    <w:rsid w:val="000D7006"/>
    <w:rsid w:val="000D7EF8"/>
    <w:rsid w:val="000E156C"/>
    <w:rsid w:val="000E3302"/>
    <w:rsid w:val="000E3A3B"/>
    <w:rsid w:val="000E42AD"/>
    <w:rsid w:val="000E566E"/>
    <w:rsid w:val="000E6BCD"/>
    <w:rsid w:val="000E7283"/>
    <w:rsid w:val="000F091C"/>
    <w:rsid w:val="000F0C03"/>
    <w:rsid w:val="000F0D33"/>
    <w:rsid w:val="000F11A7"/>
    <w:rsid w:val="000F2415"/>
    <w:rsid w:val="000F2671"/>
    <w:rsid w:val="000F2F6B"/>
    <w:rsid w:val="000F55ED"/>
    <w:rsid w:val="000F597D"/>
    <w:rsid w:val="000F6085"/>
    <w:rsid w:val="000F70B5"/>
    <w:rsid w:val="00100611"/>
    <w:rsid w:val="0010069A"/>
    <w:rsid w:val="0010098E"/>
    <w:rsid w:val="00101DB9"/>
    <w:rsid w:val="00102411"/>
    <w:rsid w:val="00103A1B"/>
    <w:rsid w:val="00105169"/>
    <w:rsid w:val="0010606D"/>
    <w:rsid w:val="001078EA"/>
    <w:rsid w:val="001079FA"/>
    <w:rsid w:val="00112123"/>
    <w:rsid w:val="00112726"/>
    <w:rsid w:val="0011360E"/>
    <w:rsid w:val="00113F78"/>
    <w:rsid w:val="0011702D"/>
    <w:rsid w:val="0012031C"/>
    <w:rsid w:val="001203AA"/>
    <w:rsid w:val="00120E6B"/>
    <w:rsid w:val="00121215"/>
    <w:rsid w:val="00121AC2"/>
    <w:rsid w:val="00121FF5"/>
    <w:rsid w:val="001225E9"/>
    <w:rsid w:val="001248A6"/>
    <w:rsid w:val="001249A3"/>
    <w:rsid w:val="00125391"/>
    <w:rsid w:val="00126D96"/>
    <w:rsid w:val="00127872"/>
    <w:rsid w:val="0013007E"/>
    <w:rsid w:val="001305FD"/>
    <w:rsid w:val="001324E6"/>
    <w:rsid w:val="00132B7E"/>
    <w:rsid w:val="0013311B"/>
    <w:rsid w:val="00133770"/>
    <w:rsid w:val="00134971"/>
    <w:rsid w:val="00135777"/>
    <w:rsid w:val="00135F31"/>
    <w:rsid w:val="0013613E"/>
    <w:rsid w:val="00136F33"/>
    <w:rsid w:val="00141583"/>
    <w:rsid w:val="001432E0"/>
    <w:rsid w:val="00143407"/>
    <w:rsid w:val="00143532"/>
    <w:rsid w:val="00145064"/>
    <w:rsid w:val="00145F5E"/>
    <w:rsid w:val="001460C2"/>
    <w:rsid w:val="001501CF"/>
    <w:rsid w:val="00150D19"/>
    <w:rsid w:val="00153C44"/>
    <w:rsid w:val="0015502D"/>
    <w:rsid w:val="0015571E"/>
    <w:rsid w:val="0015574F"/>
    <w:rsid w:val="00156B19"/>
    <w:rsid w:val="001579F9"/>
    <w:rsid w:val="00157CE4"/>
    <w:rsid w:val="00157FB8"/>
    <w:rsid w:val="001600D9"/>
    <w:rsid w:val="00160A40"/>
    <w:rsid w:val="00160A56"/>
    <w:rsid w:val="001631E5"/>
    <w:rsid w:val="00163F9E"/>
    <w:rsid w:val="001651B5"/>
    <w:rsid w:val="00165741"/>
    <w:rsid w:val="00165751"/>
    <w:rsid w:val="0016627D"/>
    <w:rsid w:val="0016680B"/>
    <w:rsid w:val="00166EDA"/>
    <w:rsid w:val="001707FA"/>
    <w:rsid w:val="00170D8E"/>
    <w:rsid w:val="001722F0"/>
    <w:rsid w:val="001725D4"/>
    <w:rsid w:val="0017261A"/>
    <w:rsid w:val="0017388B"/>
    <w:rsid w:val="00173962"/>
    <w:rsid w:val="0017519A"/>
    <w:rsid w:val="00175522"/>
    <w:rsid w:val="00175791"/>
    <w:rsid w:val="00175DB5"/>
    <w:rsid w:val="001767D2"/>
    <w:rsid w:val="0018084B"/>
    <w:rsid w:val="0018087F"/>
    <w:rsid w:val="001808FE"/>
    <w:rsid w:val="00180B0D"/>
    <w:rsid w:val="00181104"/>
    <w:rsid w:val="001819A8"/>
    <w:rsid w:val="001827F6"/>
    <w:rsid w:val="00182CCC"/>
    <w:rsid w:val="001832FF"/>
    <w:rsid w:val="00183B54"/>
    <w:rsid w:val="0018467D"/>
    <w:rsid w:val="00184CDD"/>
    <w:rsid w:val="00184D78"/>
    <w:rsid w:val="001863B0"/>
    <w:rsid w:val="0019237E"/>
    <w:rsid w:val="0019302F"/>
    <w:rsid w:val="00193E6E"/>
    <w:rsid w:val="0019511C"/>
    <w:rsid w:val="001952CA"/>
    <w:rsid w:val="001954BF"/>
    <w:rsid w:val="001959B7"/>
    <w:rsid w:val="00195BBC"/>
    <w:rsid w:val="00197E80"/>
    <w:rsid w:val="001A0D26"/>
    <w:rsid w:val="001A161F"/>
    <w:rsid w:val="001A172C"/>
    <w:rsid w:val="001A1766"/>
    <w:rsid w:val="001A331A"/>
    <w:rsid w:val="001A4104"/>
    <w:rsid w:val="001A4393"/>
    <w:rsid w:val="001A6955"/>
    <w:rsid w:val="001A6CE9"/>
    <w:rsid w:val="001A710C"/>
    <w:rsid w:val="001A7C10"/>
    <w:rsid w:val="001B03D0"/>
    <w:rsid w:val="001B0C8D"/>
    <w:rsid w:val="001B231B"/>
    <w:rsid w:val="001B2504"/>
    <w:rsid w:val="001B42F0"/>
    <w:rsid w:val="001B53FD"/>
    <w:rsid w:val="001C23B2"/>
    <w:rsid w:val="001C2A8C"/>
    <w:rsid w:val="001C2B72"/>
    <w:rsid w:val="001C2DA0"/>
    <w:rsid w:val="001C3126"/>
    <w:rsid w:val="001C4335"/>
    <w:rsid w:val="001C5068"/>
    <w:rsid w:val="001C570E"/>
    <w:rsid w:val="001C609E"/>
    <w:rsid w:val="001C6F92"/>
    <w:rsid w:val="001C7B3A"/>
    <w:rsid w:val="001D0545"/>
    <w:rsid w:val="001D22A0"/>
    <w:rsid w:val="001D45C7"/>
    <w:rsid w:val="001D5722"/>
    <w:rsid w:val="001D6228"/>
    <w:rsid w:val="001D6679"/>
    <w:rsid w:val="001D6884"/>
    <w:rsid w:val="001D70E1"/>
    <w:rsid w:val="001D730C"/>
    <w:rsid w:val="001E0D58"/>
    <w:rsid w:val="001E2238"/>
    <w:rsid w:val="001E3214"/>
    <w:rsid w:val="001E362C"/>
    <w:rsid w:val="001E4917"/>
    <w:rsid w:val="001E496A"/>
    <w:rsid w:val="001E5963"/>
    <w:rsid w:val="001E6559"/>
    <w:rsid w:val="001E7FC1"/>
    <w:rsid w:val="001F1CAD"/>
    <w:rsid w:val="001F1DF8"/>
    <w:rsid w:val="001F25B2"/>
    <w:rsid w:val="001F2BA7"/>
    <w:rsid w:val="001F38A6"/>
    <w:rsid w:val="001F38C1"/>
    <w:rsid w:val="001F3C46"/>
    <w:rsid w:val="001F417D"/>
    <w:rsid w:val="001F6A24"/>
    <w:rsid w:val="001F763C"/>
    <w:rsid w:val="001F7CF0"/>
    <w:rsid w:val="00200337"/>
    <w:rsid w:val="0020054D"/>
    <w:rsid w:val="00200714"/>
    <w:rsid w:val="00200A66"/>
    <w:rsid w:val="00200C08"/>
    <w:rsid w:val="002010BD"/>
    <w:rsid w:val="00202218"/>
    <w:rsid w:val="00202469"/>
    <w:rsid w:val="00204814"/>
    <w:rsid w:val="00205450"/>
    <w:rsid w:val="0020636C"/>
    <w:rsid w:val="002065E0"/>
    <w:rsid w:val="0021015B"/>
    <w:rsid w:val="00211576"/>
    <w:rsid w:val="0021314A"/>
    <w:rsid w:val="002137AD"/>
    <w:rsid w:val="00213E25"/>
    <w:rsid w:val="00215DD8"/>
    <w:rsid w:val="00216725"/>
    <w:rsid w:val="00220692"/>
    <w:rsid w:val="00220751"/>
    <w:rsid w:val="00220806"/>
    <w:rsid w:val="00221488"/>
    <w:rsid w:val="002215A4"/>
    <w:rsid w:val="00221849"/>
    <w:rsid w:val="00221D70"/>
    <w:rsid w:val="00221E0A"/>
    <w:rsid w:val="00222B97"/>
    <w:rsid w:val="0022356F"/>
    <w:rsid w:val="00223CA4"/>
    <w:rsid w:val="00224AFA"/>
    <w:rsid w:val="00224CE5"/>
    <w:rsid w:val="00225C76"/>
    <w:rsid w:val="00227DFB"/>
    <w:rsid w:val="00227FA3"/>
    <w:rsid w:val="00231C9F"/>
    <w:rsid w:val="00233043"/>
    <w:rsid w:val="002331D0"/>
    <w:rsid w:val="00234011"/>
    <w:rsid w:val="00234D27"/>
    <w:rsid w:val="00235695"/>
    <w:rsid w:val="002357C2"/>
    <w:rsid w:val="00235862"/>
    <w:rsid w:val="00235DC1"/>
    <w:rsid w:val="00236D13"/>
    <w:rsid w:val="00237574"/>
    <w:rsid w:val="002402D9"/>
    <w:rsid w:val="00240E22"/>
    <w:rsid w:val="00242083"/>
    <w:rsid w:val="00242972"/>
    <w:rsid w:val="00244076"/>
    <w:rsid w:val="002445B6"/>
    <w:rsid w:val="002447E0"/>
    <w:rsid w:val="002460B7"/>
    <w:rsid w:val="00247143"/>
    <w:rsid w:val="00247A43"/>
    <w:rsid w:val="00247E09"/>
    <w:rsid w:val="00251634"/>
    <w:rsid w:val="00251856"/>
    <w:rsid w:val="00251BA8"/>
    <w:rsid w:val="00251ED7"/>
    <w:rsid w:val="0025392E"/>
    <w:rsid w:val="00253A51"/>
    <w:rsid w:val="002542DF"/>
    <w:rsid w:val="00254D97"/>
    <w:rsid w:val="00255931"/>
    <w:rsid w:val="00255EA2"/>
    <w:rsid w:val="0025630C"/>
    <w:rsid w:val="0025715F"/>
    <w:rsid w:val="002574A7"/>
    <w:rsid w:val="00257AE5"/>
    <w:rsid w:val="00257F9D"/>
    <w:rsid w:val="002601D9"/>
    <w:rsid w:val="002623F1"/>
    <w:rsid w:val="0026347C"/>
    <w:rsid w:val="0026434D"/>
    <w:rsid w:val="0026442C"/>
    <w:rsid w:val="0026455A"/>
    <w:rsid w:val="00264CC1"/>
    <w:rsid w:val="00264DEC"/>
    <w:rsid w:val="002663A0"/>
    <w:rsid w:val="00266E42"/>
    <w:rsid w:val="00267E75"/>
    <w:rsid w:val="002713F4"/>
    <w:rsid w:val="002718C6"/>
    <w:rsid w:val="002720E3"/>
    <w:rsid w:val="002722FA"/>
    <w:rsid w:val="002727BC"/>
    <w:rsid w:val="002765A7"/>
    <w:rsid w:val="00277D34"/>
    <w:rsid w:val="00277EB4"/>
    <w:rsid w:val="00280E97"/>
    <w:rsid w:val="00282DA8"/>
    <w:rsid w:val="0028431D"/>
    <w:rsid w:val="0028442B"/>
    <w:rsid w:val="00284AC0"/>
    <w:rsid w:val="00285DA6"/>
    <w:rsid w:val="0028612B"/>
    <w:rsid w:val="002863AB"/>
    <w:rsid w:val="002863B9"/>
    <w:rsid w:val="002868A0"/>
    <w:rsid w:val="00286B72"/>
    <w:rsid w:val="00287A8B"/>
    <w:rsid w:val="00290165"/>
    <w:rsid w:val="002903B8"/>
    <w:rsid w:val="00291096"/>
    <w:rsid w:val="002915C8"/>
    <w:rsid w:val="00291D6B"/>
    <w:rsid w:val="00291DB5"/>
    <w:rsid w:val="00292756"/>
    <w:rsid w:val="00293630"/>
    <w:rsid w:val="00293ACE"/>
    <w:rsid w:val="00293ED3"/>
    <w:rsid w:val="00294C7C"/>
    <w:rsid w:val="00296905"/>
    <w:rsid w:val="00297A90"/>
    <w:rsid w:val="002A037E"/>
    <w:rsid w:val="002A14A7"/>
    <w:rsid w:val="002A21BC"/>
    <w:rsid w:val="002A2D0C"/>
    <w:rsid w:val="002A382B"/>
    <w:rsid w:val="002A396C"/>
    <w:rsid w:val="002A3B85"/>
    <w:rsid w:val="002A3C11"/>
    <w:rsid w:val="002A41F2"/>
    <w:rsid w:val="002A5D66"/>
    <w:rsid w:val="002A690B"/>
    <w:rsid w:val="002A76DA"/>
    <w:rsid w:val="002A7728"/>
    <w:rsid w:val="002B02F4"/>
    <w:rsid w:val="002B10C1"/>
    <w:rsid w:val="002B3156"/>
    <w:rsid w:val="002B3AA0"/>
    <w:rsid w:val="002B6152"/>
    <w:rsid w:val="002B6797"/>
    <w:rsid w:val="002B6B62"/>
    <w:rsid w:val="002B7E67"/>
    <w:rsid w:val="002C0786"/>
    <w:rsid w:val="002C1633"/>
    <w:rsid w:val="002C1E9B"/>
    <w:rsid w:val="002C2F9F"/>
    <w:rsid w:val="002C5D05"/>
    <w:rsid w:val="002C66DE"/>
    <w:rsid w:val="002C673E"/>
    <w:rsid w:val="002C6848"/>
    <w:rsid w:val="002C6A27"/>
    <w:rsid w:val="002C7513"/>
    <w:rsid w:val="002D03D6"/>
    <w:rsid w:val="002D2313"/>
    <w:rsid w:val="002D2339"/>
    <w:rsid w:val="002D38B8"/>
    <w:rsid w:val="002D58B4"/>
    <w:rsid w:val="002D5B9C"/>
    <w:rsid w:val="002E1AF3"/>
    <w:rsid w:val="002E23F9"/>
    <w:rsid w:val="002E2DE0"/>
    <w:rsid w:val="002E3511"/>
    <w:rsid w:val="002E48F1"/>
    <w:rsid w:val="002E57F8"/>
    <w:rsid w:val="002E5B1F"/>
    <w:rsid w:val="002E5C88"/>
    <w:rsid w:val="002E6928"/>
    <w:rsid w:val="002E710A"/>
    <w:rsid w:val="002E7AF9"/>
    <w:rsid w:val="002E7C1E"/>
    <w:rsid w:val="002F01E7"/>
    <w:rsid w:val="002F095E"/>
    <w:rsid w:val="002F1AED"/>
    <w:rsid w:val="002F2A22"/>
    <w:rsid w:val="002F2A39"/>
    <w:rsid w:val="002F333B"/>
    <w:rsid w:val="002F3DC2"/>
    <w:rsid w:val="002F46C4"/>
    <w:rsid w:val="00301B62"/>
    <w:rsid w:val="00303726"/>
    <w:rsid w:val="00303838"/>
    <w:rsid w:val="00304120"/>
    <w:rsid w:val="0030511F"/>
    <w:rsid w:val="00305886"/>
    <w:rsid w:val="00306110"/>
    <w:rsid w:val="00306461"/>
    <w:rsid w:val="003078DD"/>
    <w:rsid w:val="003106C4"/>
    <w:rsid w:val="00310D12"/>
    <w:rsid w:val="003110D3"/>
    <w:rsid w:val="00311A6F"/>
    <w:rsid w:val="00313981"/>
    <w:rsid w:val="00314164"/>
    <w:rsid w:val="003143EE"/>
    <w:rsid w:val="00314772"/>
    <w:rsid w:val="00314876"/>
    <w:rsid w:val="00315A90"/>
    <w:rsid w:val="00315DFB"/>
    <w:rsid w:val="00316516"/>
    <w:rsid w:val="0031726D"/>
    <w:rsid w:val="00321B4B"/>
    <w:rsid w:val="00321F3B"/>
    <w:rsid w:val="0032459F"/>
    <w:rsid w:val="00325687"/>
    <w:rsid w:val="003266CB"/>
    <w:rsid w:val="00326C00"/>
    <w:rsid w:val="00326C42"/>
    <w:rsid w:val="003271F9"/>
    <w:rsid w:val="0033166F"/>
    <w:rsid w:val="00331E3E"/>
    <w:rsid w:val="00331F5F"/>
    <w:rsid w:val="003321DD"/>
    <w:rsid w:val="003321FD"/>
    <w:rsid w:val="00332221"/>
    <w:rsid w:val="00332C19"/>
    <w:rsid w:val="00332D55"/>
    <w:rsid w:val="00333F55"/>
    <w:rsid w:val="0033435C"/>
    <w:rsid w:val="003348F3"/>
    <w:rsid w:val="00334910"/>
    <w:rsid w:val="00335155"/>
    <w:rsid w:val="003358E8"/>
    <w:rsid w:val="003363D4"/>
    <w:rsid w:val="0033731B"/>
    <w:rsid w:val="00337943"/>
    <w:rsid w:val="00337A72"/>
    <w:rsid w:val="00340FC3"/>
    <w:rsid w:val="00341C92"/>
    <w:rsid w:val="0034500F"/>
    <w:rsid w:val="003469FF"/>
    <w:rsid w:val="003471B5"/>
    <w:rsid w:val="00347274"/>
    <w:rsid w:val="0034752E"/>
    <w:rsid w:val="003475BC"/>
    <w:rsid w:val="00347BF0"/>
    <w:rsid w:val="00350128"/>
    <w:rsid w:val="00352E6D"/>
    <w:rsid w:val="00353961"/>
    <w:rsid w:val="00354A1C"/>
    <w:rsid w:val="0035530E"/>
    <w:rsid w:val="003564F3"/>
    <w:rsid w:val="00357DDC"/>
    <w:rsid w:val="003608EF"/>
    <w:rsid w:val="00361850"/>
    <w:rsid w:val="00361A92"/>
    <w:rsid w:val="00361C12"/>
    <w:rsid w:val="00362749"/>
    <w:rsid w:val="00362D35"/>
    <w:rsid w:val="0036321C"/>
    <w:rsid w:val="0036323F"/>
    <w:rsid w:val="0036376B"/>
    <w:rsid w:val="0036382B"/>
    <w:rsid w:val="00364AC6"/>
    <w:rsid w:val="00364E9A"/>
    <w:rsid w:val="003665F8"/>
    <w:rsid w:val="0037053E"/>
    <w:rsid w:val="00370B50"/>
    <w:rsid w:val="00371A16"/>
    <w:rsid w:val="003725E4"/>
    <w:rsid w:val="003725EC"/>
    <w:rsid w:val="00373157"/>
    <w:rsid w:val="00373298"/>
    <w:rsid w:val="003771E5"/>
    <w:rsid w:val="003777DD"/>
    <w:rsid w:val="00377E18"/>
    <w:rsid w:val="00380FBC"/>
    <w:rsid w:val="00381272"/>
    <w:rsid w:val="00382427"/>
    <w:rsid w:val="003834C5"/>
    <w:rsid w:val="00383AC2"/>
    <w:rsid w:val="00384941"/>
    <w:rsid w:val="003869D3"/>
    <w:rsid w:val="00387124"/>
    <w:rsid w:val="003871DF"/>
    <w:rsid w:val="003874FB"/>
    <w:rsid w:val="003914D7"/>
    <w:rsid w:val="00391A1B"/>
    <w:rsid w:val="0039350B"/>
    <w:rsid w:val="00393A07"/>
    <w:rsid w:val="00395223"/>
    <w:rsid w:val="0039545C"/>
    <w:rsid w:val="00395EA7"/>
    <w:rsid w:val="00396BAC"/>
    <w:rsid w:val="003972D5"/>
    <w:rsid w:val="003A0ABA"/>
    <w:rsid w:val="003A0CF9"/>
    <w:rsid w:val="003A0D83"/>
    <w:rsid w:val="003A10AC"/>
    <w:rsid w:val="003A1B60"/>
    <w:rsid w:val="003A23A3"/>
    <w:rsid w:val="003A25F5"/>
    <w:rsid w:val="003A40E5"/>
    <w:rsid w:val="003A7267"/>
    <w:rsid w:val="003A77C7"/>
    <w:rsid w:val="003A78D3"/>
    <w:rsid w:val="003A7D6F"/>
    <w:rsid w:val="003B0038"/>
    <w:rsid w:val="003B1054"/>
    <w:rsid w:val="003B1FD7"/>
    <w:rsid w:val="003B25CC"/>
    <w:rsid w:val="003B3288"/>
    <w:rsid w:val="003B4242"/>
    <w:rsid w:val="003B42D5"/>
    <w:rsid w:val="003B465F"/>
    <w:rsid w:val="003B520B"/>
    <w:rsid w:val="003B52C9"/>
    <w:rsid w:val="003B562A"/>
    <w:rsid w:val="003B5DFB"/>
    <w:rsid w:val="003B5E51"/>
    <w:rsid w:val="003B6272"/>
    <w:rsid w:val="003B693E"/>
    <w:rsid w:val="003B7155"/>
    <w:rsid w:val="003B77FA"/>
    <w:rsid w:val="003B7CFA"/>
    <w:rsid w:val="003B7E62"/>
    <w:rsid w:val="003C1B23"/>
    <w:rsid w:val="003C21EF"/>
    <w:rsid w:val="003C29FC"/>
    <w:rsid w:val="003C3565"/>
    <w:rsid w:val="003C36C7"/>
    <w:rsid w:val="003C480F"/>
    <w:rsid w:val="003C5445"/>
    <w:rsid w:val="003C59C8"/>
    <w:rsid w:val="003C5A1D"/>
    <w:rsid w:val="003C615E"/>
    <w:rsid w:val="003C66DB"/>
    <w:rsid w:val="003C67EA"/>
    <w:rsid w:val="003C6AA1"/>
    <w:rsid w:val="003C7DC9"/>
    <w:rsid w:val="003C7EF6"/>
    <w:rsid w:val="003D02C6"/>
    <w:rsid w:val="003D02F1"/>
    <w:rsid w:val="003D0BFD"/>
    <w:rsid w:val="003D2329"/>
    <w:rsid w:val="003D2490"/>
    <w:rsid w:val="003D3C13"/>
    <w:rsid w:val="003D4792"/>
    <w:rsid w:val="003D4BF8"/>
    <w:rsid w:val="003D6524"/>
    <w:rsid w:val="003D66B4"/>
    <w:rsid w:val="003D7379"/>
    <w:rsid w:val="003D7453"/>
    <w:rsid w:val="003E2508"/>
    <w:rsid w:val="003E29A6"/>
    <w:rsid w:val="003E3A88"/>
    <w:rsid w:val="003E3C31"/>
    <w:rsid w:val="003E5EDE"/>
    <w:rsid w:val="003E7D2A"/>
    <w:rsid w:val="003F3030"/>
    <w:rsid w:val="003F3A10"/>
    <w:rsid w:val="003F3FC0"/>
    <w:rsid w:val="003F4A2F"/>
    <w:rsid w:val="003F514B"/>
    <w:rsid w:val="003F610D"/>
    <w:rsid w:val="003F6325"/>
    <w:rsid w:val="003F6357"/>
    <w:rsid w:val="003F6CA1"/>
    <w:rsid w:val="003F7305"/>
    <w:rsid w:val="004006EE"/>
    <w:rsid w:val="00402123"/>
    <w:rsid w:val="00402665"/>
    <w:rsid w:val="0040267B"/>
    <w:rsid w:val="00403B12"/>
    <w:rsid w:val="00403F64"/>
    <w:rsid w:val="00404C1A"/>
    <w:rsid w:val="00405D29"/>
    <w:rsid w:val="0040743E"/>
    <w:rsid w:val="00410D32"/>
    <w:rsid w:val="0041109F"/>
    <w:rsid w:val="00411D0C"/>
    <w:rsid w:val="00412667"/>
    <w:rsid w:val="0041288F"/>
    <w:rsid w:val="00413CC0"/>
    <w:rsid w:val="004147F7"/>
    <w:rsid w:val="00414E32"/>
    <w:rsid w:val="00420372"/>
    <w:rsid w:val="00420C2B"/>
    <w:rsid w:val="0042162A"/>
    <w:rsid w:val="00421945"/>
    <w:rsid w:val="00422865"/>
    <w:rsid w:val="0042394E"/>
    <w:rsid w:val="00423AB1"/>
    <w:rsid w:val="00423AE2"/>
    <w:rsid w:val="00424680"/>
    <w:rsid w:val="00426A12"/>
    <w:rsid w:val="00427A77"/>
    <w:rsid w:val="00430765"/>
    <w:rsid w:val="00430AD9"/>
    <w:rsid w:val="00431225"/>
    <w:rsid w:val="00432F98"/>
    <w:rsid w:val="004334BC"/>
    <w:rsid w:val="0043620E"/>
    <w:rsid w:val="0043650F"/>
    <w:rsid w:val="00436B77"/>
    <w:rsid w:val="00437041"/>
    <w:rsid w:val="004379AE"/>
    <w:rsid w:val="00437ED6"/>
    <w:rsid w:val="00440009"/>
    <w:rsid w:val="0044013D"/>
    <w:rsid w:val="004418D7"/>
    <w:rsid w:val="004419BF"/>
    <w:rsid w:val="00441A69"/>
    <w:rsid w:val="00441F91"/>
    <w:rsid w:val="004428CD"/>
    <w:rsid w:val="004429C8"/>
    <w:rsid w:val="00443186"/>
    <w:rsid w:val="004435BC"/>
    <w:rsid w:val="004435EE"/>
    <w:rsid w:val="00443D96"/>
    <w:rsid w:val="004442F5"/>
    <w:rsid w:val="00444738"/>
    <w:rsid w:val="00444DD3"/>
    <w:rsid w:val="00445C17"/>
    <w:rsid w:val="00446398"/>
    <w:rsid w:val="004466B6"/>
    <w:rsid w:val="00447FA0"/>
    <w:rsid w:val="0045029C"/>
    <w:rsid w:val="00450DF6"/>
    <w:rsid w:val="0045168F"/>
    <w:rsid w:val="00452879"/>
    <w:rsid w:val="004529E4"/>
    <w:rsid w:val="00453968"/>
    <w:rsid w:val="00453E46"/>
    <w:rsid w:val="00454344"/>
    <w:rsid w:val="00455743"/>
    <w:rsid w:val="0045590E"/>
    <w:rsid w:val="00455A06"/>
    <w:rsid w:val="00457229"/>
    <w:rsid w:val="0045769E"/>
    <w:rsid w:val="00457FEE"/>
    <w:rsid w:val="0046024A"/>
    <w:rsid w:val="0046029A"/>
    <w:rsid w:val="0046059B"/>
    <w:rsid w:val="004608ED"/>
    <w:rsid w:val="00461F60"/>
    <w:rsid w:val="00463001"/>
    <w:rsid w:val="00464248"/>
    <w:rsid w:val="00464E70"/>
    <w:rsid w:val="004661A9"/>
    <w:rsid w:val="004668F8"/>
    <w:rsid w:val="0046764C"/>
    <w:rsid w:val="00467DB1"/>
    <w:rsid w:val="00470AC3"/>
    <w:rsid w:val="00472282"/>
    <w:rsid w:val="00473341"/>
    <w:rsid w:val="00474244"/>
    <w:rsid w:val="00474DF2"/>
    <w:rsid w:val="004755AB"/>
    <w:rsid w:val="0047579F"/>
    <w:rsid w:val="00475995"/>
    <w:rsid w:val="00476C28"/>
    <w:rsid w:val="004800DA"/>
    <w:rsid w:val="00481386"/>
    <w:rsid w:val="00481928"/>
    <w:rsid w:val="004822B2"/>
    <w:rsid w:val="004831D2"/>
    <w:rsid w:val="0048332E"/>
    <w:rsid w:val="00484C9E"/>
    <w:rsid w:val="00485345"/>
    <w:rsid w:val="004857E3"/>
    <w:rsid w:val="00485BAC"/>
    <w:rsid w:val="00485C59"/>
    <w:rsid w:val="00487294"/>
    <w:rsid w:val="004875EE"/>
    <w:rsid w:val="00487864"/>
    <w:rsid w:val="004879B1"/>
    <w:rsid w:val="00490485"/>
    <w:rsid w:val="0049169F"/>
    <w:rsid w:val="00492126"/>
    <w:rsid w:val="004925F5"/>
    <w:rsid w:val="00493D78"/>
    <w:rsid w:val="004940FC"/>
    <w:rsid w:val="0049467C"/>
    <w:rsid w:val="00494B1E"/>
    <w:rsid w:val="00495A4F"/>
    <w:rsid w:val="00495CB4"/>
    <w:rsid w:val="004961A8"/>
    <w:rsid w:val="00497DC3"/>
    <w:rsid w:val="004A12ED"/>
    <w:rsid w:val="004A151B"/>
    <w:rsid w:val="004A28C3"/>
    <w:rsid w:val="004A3644"/>
    <w:rsid w:val="004A5885"/>
    <w:rsid w:val="004A7028"/>
    <w:rsid w:val="004A7656"/>
    <w:rsid w:val="004A7F30"/>
    <w:rsid w:val="004B0B20"/>
    <w:rsid w:val="004B1290"/>
    <w:rsid w:val="004B217C"/>
    <w:rsid w:val="004B3005"/>
    <w:rsid w:val="004B4034"/>
    <w:rsid w:val="004B48A9"/>
    <w:rsid w:val="004B4A00"/>
    <w:rsid w:val="004B56AF"/>
    <w:rsid w:val="004B5AF6"/>
    <w:rsid w:val="004B7B4F"/>
    <w:rsid w:val="004C0C3D"/>
    <w:rsid w:val="004C139F"/>
    <w:rsid w:val="004C1F0D"/>
    <w:rsid w:val="004C2B7D"/>
    <w:rsid w:val="004C30BB"/>
    <w:rsid w:val="004C3E30"/>
    <w:rsid w:val="004C5248"/>
    <w:rsid w:val="004C7801"/>
    <w:rsid w:val="004C7A50"/>
    <w:rsid w:val="004D022B"/>
    <w:rsid w:val="004D025C"/>
    <w:rsid w:val="004D04B2"/>
    <w:rsid w:val="004D080F"/>
    <w:rsid w:val="004D3158"/>
    <w:rsid w:val="004D4294"/>
    <w:rsid w:val="004D4F68"/>
    <w:rsid w:val="004D5678"/>
    <w:rsid w:val="004D56BB"/>
    <w:rsid w:val="004D6008"/>
    <w:rsid w:val="004D6174"/>
    <w:rsid w:val="004D7407"/>
    <w:rsid w:val="004D779E"/>
    <w:rsid w:val="004D798B"/>
    <w:rsid w:val="004D7A73"/>
    <w:rsid w:val="004E1678"/>
    <w:rsid w:val="004E304D"/>
    <w:rsid w:val="004E3686"/>
    <w:rsid w:val="004E3826"/>
    <w:rsid w:val="004E5157"/>
    <w:rsid w:val="004E6B96"/>
    <w:rsid w:val="004E7599"/>
    <w:rsid w:val="004E7A80"/>
    <w:rsid w:val="004F299B"/>
    <w:rsid w:val="004F38DD"/>
    <w:rsid w:val="004F4B5C"/>
    <w:rsid w:val="004F4DEF"/>
    <w:rsid w:val="004F57B9"/>
    <w:rsid w:val="004F5D41"/>
    <w:rsid w:val="004F65B5"/>
    <w:rsid w:val="004F65E6"/>
    <w:rsid w:val="00501526"/>
    <w:rsid w:val="005016BC"/>
    <w:rsid w:val="00501E0D"/>
    <w:rsid w:val="00502ECF"/>
    <w:rsid w:val="0050321A"/>
    <w:rsid w:val="00504932"/>
    <w:rsid w:val="00505641"/>
    <w:rsid w:val="005062A5"/>
    <w:rsid w:val="005065B7"/>
    <w:rsid w:val="005073F8"/>
    <w:rsid w:val="005079B3"/>
    <w:rsid w:val="00507BC1"/>
    <w:rsid w:val="00507F5A"/>
    <w:rsid w:val="00512A8D"/>
    <w:rsid w:val="00513A09"/>
    <w:rsid w:val="005156C0"/>
    <w:rsid w:val="00515935"/>
    <w:rsid w:val="00516A5A"/>
    <w:rsid w:val="005200A0"/>
    <w:rsid w:val="00520AA4"/>
    <w:rsid w:val="00520E14"/>
    <w:rsid w:val="00520E32"/>
    <w:rsid w:val="005210A0"/>
    <w:rsid w:val="005214C0"/>
    <w:rsid w:val="005218E0"/>
    <w:rsid w:val="00525994"/>
    <w:rsid w:val="00525DB0"/>
    <w:rsid w:val="00526EFE"/>
    <w:rsid w:val="005273BD"/>
    <w:rsid w:val="0052742D"/>
    <w:rsid w:val="005334EB"/>
    <w:rsid w:val="0053376B"/>
    <w:rsid w:val="00534F6D"/>
    <w:rsid w:val="00534F8C"/>
    <w:rsid w:val="00534FDA"/>
    <w:rsid w:val="0053511C"/>
    <w:rsid w:val="00535506"/>
    <w:rsid w:val="0053564B"/>
    <w:rsid w:val="00535A03"/>
    <w:rsid w:val="00535A85"/>
    <w:rsid w:val="005360D2"/>
    <w:rsid w:val="00540995"/>
    <w:rsid w:val="005416A2"/>
    <w:rsid w:val="00541C4C"/>
    <w:rsid w:val="0054229E"/>
    <w:rsid w:val="0054316C"/>
    <w:rsid w:val="0054353E"/>
    <w:rsid w:val="0054363A"/>
    <w:rsid w:val="005440EF"/>
    <w:rsid w:val="005443DD"/>
    <w:rsid w:val="005446B6"/>
    <w:rsid w:val="00544849"/>
    <w:rsid w:val="00544929"/>
    <w:rsid w:val="00545ACA"/>
    <w:rsid w:val="005462A3"/>
    <w:rsid w:val="005519EE"/>
    <w:rsid w:val="00551D94"/>
    <w:rsid w:val="00552434"/>
    <w:rsid w:val="00552967"/>
    <w:rsid w:val="00553459"/>
    <w:rsid w:val="0055472D"/>
    <w:rsid w:val="00554FB3"/>
    <w:rsid w:val="005554F1"/>
    <w:rsid w:val="00555A5E"/>
    <w:rsid w:val="00556BA3"/>
    <w:rsid w:val="00557D9F"/>
    <w:rsid w:val="00557E56"/>
    <w:rsid w:val="0056062E"/>
    <w:rsid w:val="00560793"/>
    <w:rsid w:val="00560A15"/>
    <w:rsid w:val="00561566"/>
    <w:rsid w:val="00562294"/>
    <w:rsid w:val="0056231E"/>
    <w:rsid w:val="00563770"/>
    <w:rsid w:val="005661BD"/>
    <w:rsid w:val="0056622C"/>
    <w:rsid w:val="005663A7"/>
    <w:rsid w:val="005665BB"/>
    <w:rsid w:val="00570373"/>
    <w:rsid w:val="00570A63"/>
    <w:rsid w:val="00570F92"/>
    <w:rsid w:val="00570F9E"/>
    <w:rsid w:val="00571273"/>
    <w:rsid w:val="0057134D"/>
    <w:rsid w:val="005716D9"/>
    <w:rsid w:val="005718C6"/>
    <w:rsid w:val="005731D2"/>
    <w:rsid w:val="0057341A"/>
    <w:rsid w:val="00574B90"/>
    <w:rsid w:val="00574BFE"/>
    <w:rsid w:val="00575FB1"/>
    <w:rsid w:val="00576B76"/>
    <w:rsid w:val="00577C00"/>
    <w:rsid w:val="00580874"/>
    <w:rsid w:val="00581341"/>
    <w:rsid w:val="005824FD"/>
    <w:rsid w:val="00583298"/>
    <w:rsid w:val="00583754"/>
    <w:rsid w:val="00585EEA"/>
    <w:rsid w:val="00587EAB"/>
    <w:rsid w:val="00587F61"/>
    <w:rsid w:val="0059241B"/>
    <w:rsid w:val="005959D9"/>
    <w:rsid w:val="00595B13"/>
    <w:rsid w:val="0059705B"/>
    <w:rsid w:val="00597395"/>
    <w:rsid w:val="00597F35"/>
    <w:rsid w:val="005A06DB"/>
    <w:rsid w:val="005A0721"/>
    <w:rsid w:val="005A0A7B"/>
    <w:rsid w:val="005A1618"/>
    <w:rsid w:val="005A307A"/>
    <w:rsid w:val="005A45A3"/>
    <w:rsid w:val="005A5497"/>
    <w:rsid w:val="005A5BFB"/>
    <w:rsid w:val="005A6250"/>
    <w:rsid w:val="005A6511"/>
    <w:rsid w:val="005A6C74"/>
    <w:rsid w:val="005A70FB"/>
    <w:rsid w:val="005B00FC"/>
    <w:rsid w:val="005B0129"/>
    <w:rsid w:val="005B08A5"/>
    <w:rsid w:val="005B0EF1"/>
    <w:rsid w:val="005B245A"/>
    <w:rsid w:val="005B32B3"/>
    <w:rsid w:val="005B50F5"/>
    <w:rsid w:val="005B52BC"/>
    <w:rsid w:val="005B7330"/>
    <w:rsid w:val="005B7D7C"/>
    <w:rsid w:val="005B7DA0"/>
    <w:rsid w:val="005C011A"/>
    <w:rsid w:val="005C0580"/>
    <w:rsid w:val="005C18FD"/>
    <w:rsid w:val="005C2C11"/>
    <w:rsid w:val="005C2F1F"/>
    <w:rsid w:val="005C3BF2"/>
    <w:rsid w:val="005C4279"/>
    <w:rsid w:val="005C44A7"/>
    <w:rsid w:val="005D0E5C"/>
    <w:rsid w:val="005D21C5"/>
    <w:rsid w:val="005D3080"/>
    <w:rsid w:val="005D344B"/>
    <w:rsid w:val="005D5175"/>
    <w:rsid w:val="005D5B06"/>
    <w:rsid w:val="005E1A92"/>
    <w:rsid w:val="005E211A"/>
    <w:rsid w:val="005E342E"/>
    <w:rsid w:val="005E393E"/>
    <w:rsid w:val="005E3FC8"/>
    <w:rsid w:val="005E41F5"/>
    <w:rsid w:val="005E431D"/>
    <w:rsid w:val="005E4BCB"/>
    <w:rsid w:val="005E4EE3"/>
    <w:rsid w:val="005E5215"/>
    <w:rsid w:val="005E5B59"/>
    <w:rsid w:val="005E5BE8"/>
    <w:rsid w:val="005E6DF5"/>
    <w:rsid w:val="005F029C"/>
    <w:rsid w:val="005F04A4"/>
    <w:rsid w:val="005F0801"/>
    <w:rsid w:val="005F0AA5"/>
    <w:rsid w:val="005F32F2"/>
    <w:rsid w:val="005F3463"/>
    <w:rsid w:val="005F37E9"/>
    <w:rsid w:val="005F3DA6"/>
    <w:rsid w:val="005F3F87"/>
    <w:rsid w:val="005F41DB"/>
    <w:rsid w:val="005F45E9"/>
    <w:rsid w:val="005F4C8B"/>
    <w:rsid w:val="005F7634"/>
    <w:rsid w:val="006011DA"/>
    <w:rsid w:val="00602427"/>
    <w:rsid w:val="0060242A"/>
    <w:rsid w:val="00602639"/>
    <w:rsid w:val="00602D28"/>
    <w:rsid w:val="006035E7"/>
    <w:rsid w:val="006040DD"/>
    <w:rsid w:val="0060516D"/>
    <w:rsid w:val="00605216"/>
    <w:rsid w:val="006067EB"/>
    <w:rsid w:val="00606DE8"/>
    <w:rsid w:val="00611DFE"/>
    <w:rsid w:val="0061242A"/>
    <w:rsid w:val="006126B9"/>
    <w:rsid w:val="00612FE2"/>
    <w:rsid w:val="0061316B"/>
    <w:rsid w:val="006138AC"/>
    <w:rsid w:val="00613D27"/>
    <w:rsid w:val="006146A7"/>
    <w:rsid w:val="006146D1"/>
    <w:rsid w:val="0061526C"/>
    <w:rsid w:val="00615760"/>
    <w:rsid w:val="00615C26"/>
    <w:rsid w:val="00616148"/>
    <w:rsid w:val="00616C21"/>
    <w:rsid w:val="00616E05"/>
    <w:rsid w:val="00617914"/>
    <w:rsid w:val="006204D1"/>
    <w:rsid w:val="00621184"/>
    <w:rsid w:val="00621202"/>
    <w:rsid w:val="00621496"/>
    <w:rsid w:val="006219AB"/>
    <w:rsid w:val="00621B4C"/>
    <w:rsid w:val="00621BE3"/>
    <w:rsid w:val="00622160"/>
    <w:rsid w:val="00622233"/>
    <w:rsid w:val="00623FA9"/>
    <w:rsid w:val="006245D9"/>
    <w:rsid w:val="0062497E"/>
    <w:rsid w:val="00624D12"/>
    <w:rsid w:val="00626215"/>
    <w:rsid w:val="00626EC7"/>
    <w:rsid w:val="00627DB0"/>
    <w:rsid w:val="00630E86"/>
    <w:rsid w:val="0063114E"/>
    <w:rsid w:val="006329AB"/>
    <w:rsid w:val="00632AD1"/>
    <w:rsid w:val="00633C30"/>
    <w:rsid w:val="00635791"/>
    <w:rsid w:val="00635A80"/>
    <w:rsid w:val="00636335"/>
    <w:rsid w:val="00637BC0"/>
    <w:rsid w:val="00640584"/>
    <w:rsid w:val="00640C6B"/>
    <w:rsid w:val="00640D21"/>
    <w:rsid w:val="00641E77"/>
    <w:rsid w:val="00642E79"/>
    <w:rsid w:val="006431D1"/>
    <w:rsid w:val="00643545"/>
    <w:rsid w:val="00644933"/>
    <w:rsid w:val="00644FAA"/>
    <w:rsid w:val="006462C5"/>
    <w:rsid w:val="00647088"/>
    <w:rsid w:val="00647286"/>
    <w:rsid w:val="00647F05"/>
    <w:rsid w:val="00651B80"/>
    <w:rsid w:val="00651FBA"/>
    <w:rsid w:val="006529C3"/>
    <w:rsid w:val="0065350E"/>
    <w:rsid w:val="00653864"/>
    <w:rsid w:val="00655485"/>
    <w:rsid w:val="00655F63"/>
    <w:rsid w:val="00656100"/>
    <w:rsid w:val="00656B42"/>
    <w:rsid w:val="00656F41"/>
    <w:rsid w:val="006578FE"/>
    <w:rsid w:val="00657E3D"/>
    <w:rsid w:val="00657E78"/>
    <w:rsid w:val="00660CF5"/>
    <w:rsid w:val="00661923"/>
    <w:rsid w:val="006625C5"/>
    <w:rsid w:val="00663DA6"/>
    <w:rsid w:val="00665246"/>
    <w:rsid w:val="006702BA"/>
    <w:rsid w:val="006705B9"/>
    <w:rsid w:val="00670809"/>
    <w:rsid w:val="00671553"/>
    <w:rsid w:val="0067232D"/>
    <w:rsid w:val="0067280D"/>
    <w:rsid w:val="00672C4A"/>
    <w:rsid w:val="006739FB"/>
    <w:rsid w:val="006741B1"/>
    <w:rsid w:val="006742D6"/>
    <w:rsid w:val="00674324"/>
    <w:rsid w:val="00674C0E"/>
    <w:rsid w:val="00674C2E"/>
    <w:rsid w:val="00675D1A"/>
    <w:rsid w:val="00675E83"/>
    <w:rsid w:val="00675EBB"/>
    <w:rsid w:val="00676B20"/>
    <w:rsid w:val="0067736A"/>
    <w:rsid w:val="006778BD"/>
    <w:rsid w:val="006808A5"/>
    <w:rsid w:val="00682F6B"/>
    <w:rsid w:val="00683963"/>
    <w:rsid w:val="00683D8E"/>
    <w:rsid w:val="00686355"/>
    <w:rsid w:val="00686406"/>
    <w:rsid w:val="0069008F"/>
    <w:rsid w:val="006901B7"/>
    <w:rsid w:val="00690832"/>
    <w:rsid w:val="0069092D"/>
    <w:rsid w:val="00690F4E"/>
    <w:rsid w:val="00691C35"/>
    <w:rsid w:val="00691DF8"/>
    <w:rsid w:val="0069338D"/>
    <w:rsid w:val="00693494"/>
    <w:rsid w:val="00693F7D"/>
    <w:rsid w:val="00695034"/>
    <w:rsid w:val="0069512A"/>
    <w:rsid w:val="0069592E"/>
    <w:rsid w:val="00696596"/>
    <w:rsid w:val="00696896"/>
    <w:rsid w:val="006A068B"/>
    <w:rsid w:val="006A0992"/>
    <w:rsid w:val="006A0CAE"/>
    <w:rsid w:val="006A0FED"/>
    <w:rsid w:val="006A16F7"/>
    <w:rsid w:val="006A2448"/>
    <w:rsid w:val="006A30F7"/>
    <w:rsid w:val="006A5238"/>
    <w:rsid w:val="006A584C"/>
    <w:rsid w:val="006A594B"/>
    <w:rsid w:val="006A702D"/>
    <w:rsid w:val="006B02CA"/>
    <w:rsid w:val="006B0D8E"/>
    <w:rsid w:val="006B1D62"/>
    <w:rsid w:val="006B2606"/>
    <w:rsid w:val="006B3248"/>
    <w:rsid w:val="006B4B69"/>
    <w:rsid w:val="006B5650"/>
    <w:rsid w:val="006B5E44"/>
    <w:rsid w:val="006C0EA0"/>
    <w:rsid w:val="006C1713"/>
    <w:rsid w:val="006C3330"/>
    <w:rsid w:val="006C3402"/>
    <w:rsid w:val="006C4582"/>
    <w:rsid w:val="006C4BFA"/>
    <w:rsid w:val="006C6367"/>
    <w:rsid w:val="006C6FA9"/>
    <w:rsid w:val="006D1130"/>
    <w:rsid w:val="006D2285"/>
    <w:rsid w:val="006D2CE3"/>
    <w:rsid w:val="006D4395"/>
    <w:rsid w:val="006D56ED"/>
    <w:rsid w:val="006D5A04"/>
    <w:rsid w:val="006D5A13"/>
    <w:rsid w:val="006D625C"/>
    <w:rsid w:val="006D69ED"/>
    <w:rsid w:val="006D6C4B"/>
    <w:rsid w:val="006D79DB"/>
    <w:rsid w:val="006E0940"/>
    <w:rsid w:val="006E10D0"/>
    <w:rsid w:val="006E18ED"/>
    <w:rsid w:val="006E1A5C"/>
    <w:rsid w:val="006E203F"/>
    <w:rsid w:val="006E2160"/>
    <w:rsid w:val="006E221C"/>
    <w:rsid w:val="006E5E89"/>
    <w:rsid w:val="006E69B1"/>
    <w:rsid w:val="006E7670"/>
    <w:rsid w:val="006E7B9A"/>
    <w:rsid w:val="006E7D23"/>
    <w:rsid w:val="006F0520"/>
    <w:rsid w:val="006F0787"/>
    <w:rsid w:val="006F143F"/>
    <w:rsid w:val="006F15CA"/>
    <w:rsid w:val="006F33AA"/>
    <w:rsid w:val="006F3B1E"/>
    <w:rsid w:val="006F3CC3"/>
    <w:rsid w:val="006F4CBC"/>
    <w:rsid w:val="006F4FD9"/>
    <w:rsid w:val="006F5C80"/>
    <w:rsid w:val="006F6B84"/>
    <w:rsid w:val="006F7978"/>
    <w:rsid w:val="007003C7"/>
    <w:rsid w:val="00702666"/>
    <w:rsid w:val="0070354F"/>
    <w:rsid w:val="007037C7"/>
    <w:rsid w:val="0070392F"/>
    <w:rsid w:val="00703AC7"/>
    <w:rsid w:val="00703D52"/>
    <w:rsid w:val="00703DDA"/>
    <w:rsid w:val="00704A49"/>
    <w:rsid w:val="00704A9B"/>
    <w:rsid w:val="00706B24"/>
    <w:rsid w:val="00707327"/>
    <w:rsid w:val="007073C6"/>
    <w:rsid w:val="007073E2"/>
    <w:rsid w:val="00707472"/>
    <w:rsid w:val="00707639"/>
    <w:rsid w:val="00707823"/>
    <w:rsid w:val="007124E3"/>
    <w:rsid w:val="007127A1"/>
    <w:rsid w:val="00713700"/>
    <w:rsid w:val="0071415A"/>
    <w:rsid w:val="007143DA"/>
    <w:rsid w:val="00715000"/>
    <w:rsid w:val="007152CD"/>
    <w:rsid w:val="00720FA2"/>
    <w:rsid w:val="007223ED"/>
    <w:rsid w:val="00722551"/>
    <w:rsid w:val="0072498D"/>
    <w:rsid w:val="00724E5E"/>
    <w:rsid w:val="007254C3"/>
    <w:rsid w:val="007258D6"/>
    <w:rsid w:val="00725F90"/>
    <w:rsid w:val="0072621D"/>
    <w:rsid w:val="00726594"/>
    <w:rsid w:val="00726CB0"/>
    <w:rsid w:val="007301E4"/>
    <w:rsid w:val="00730309"/>
    <w:rsid w:val="00730697"/>
    <w:rsid w:val="00730877"/>
    <w:rsid w:val="00730FD2"/>
    <w:rsid w:val="007310F3"/>
    <w:rsid w:val="00735781"/>
    <w:rsid w:val="0073695D"/>
    <w:rsid w:val="00737062"/>
    <w:rsid w:val="007405A0"/>
    <w:rsid w:val="007408DC"/>
    <w:rsid w:val="00740945"/>
    <w:rsid w:val="00743C41"/>
    <w:rsid w:val="00743CCA"/>
    <w:rsid w:val="0074448B"/>
    <w:rsid w:val="00745214"/>
    <w:rsid w:val="0074569F"/>
    <w:rsid w:val="00745707"/>
    <w:rsid w:val="00745C58"/>
    <w:rsid w:val="0074686E"/>
    <w:rsid w:val="00746972"/>
    <w:rsid w:val="00746AFA"/>
    <w:rsid w:val="00747836"/>
    <w:rsid w:val="00750A54"/>
    <w:rsid w:val="00751660"/>
    <w:rsid w:val="00751ABE"/>
    <w:rsid w:val="007523A8"/>
    <w:rsid w:val="00752883"/>
    <w:rsid w:val="007528F6"/>
    <w:rsid w:val="00752C35"/>
    <w:rsid w:val="007530A2"/>
    <w:rsid w:val="00753210"/>
    <w:rsid w:val="00753E2A"/>
    <w:rsid w:val="00754651"/>
    <w:rsid w:val="00754B47"/>
    <w:rsid w:val="007560F1"/>
    <w:rsid w:val="0075616F"/>
    <w:rsid w:val="00756CA0"/>
    <w:rsid w:val="0075714E"/>
    <w:rsid w:val="007601A4"/>
    <w:rsid w:val="0076063D"/>
    <w:rsid w:val="00761706"/>
    <w:rsid w:val="0076171C"/>
    <w:rsid w:val="00762038"/>
    <w:rsid w:val="007621EA"/>
    <w:rsid w:val="00762E77"/>
    <w:rsid w:val="00764176"/>
    <w:rsid w:val="00764D67"/>
    <w:rsid w:val="0076568F"/>
    <w:rsid w:val="007658DF"/>
    <w:rsid w:val="00766EDC"/>
    <w:rsid w:val="007702B8"/>
    <w:rsid w:val="00770CD4"/>
    <w:rsid w:val="00771683"/>
    <w:rsid w:val="007720D9"/>
    <w:rsid w:val="00772FCA"/>
    <w:rsid w:val="00773328"/>
    <w:rsid w:val="00775C62"/>
    <w:rsid w:val="00775F0D"/>
    <w:rsid w:val="00776620"/>
    <w:rsid w:val="00776BBE"/>
    <w:rsid w:val="0078021E"/>
    <w:rsid w:val="00780F95"/>
    <w:rsid w:val="00781063"/>
    <w:rsid w:val="00781E02"/>
    <w:rsid w:val="00781F6D"/>
    <w:rsid w:val="0078242C"/>
    <w:rsid w:val="00782A11"/>
    <w:rsid w:val="007834FB"/>
    <w:rsid w:val="00783791"/>
    <w:rsid w:val="00784881"/>
    <w:rsid w:val="00784F20"/>
    <w:rsid w:val="00785FB1"/>
    <w:rsid w:val="00786E52"/>
    <w:rsid w:val="0078740D"/>
    <w:rsid w:val="007916D0"/>
    <w:rsid w:val="00791F38"/>
    <w:rsid w:val="00792121"/>
    <w:rsid w:val="0079693F"/>
    <w:rsid w:val="00796C68"/>
    <w:rsid w:val="00796F6A"/>
    <w:rsid w:val="007A11AB"/>
    <w:rsid w:val="007A1270"/>
    <w:rsid w:val="007A3FD5"/>
    <w:rsid w:val="007A4FE7"/>
    <w:rsid w:val="007A5816"/>
    <w:rsid w:val="007A5BAF"/>
    <w:rsid w:val="007A5CEC"/>
    <w:rsid w:val="007A613E"/>
    <w:rsid w:val="007A69DE"/>
    <w:rsid w:val="007A6D53"/>
    <w:rsid w:val="007A72C0"/>
    <w:rsid w:val="007B0BAC"/>
    <w:rsid w:val="007B0FBC"/>
    <w:rsid w:val="007B11B5"/>
    <w:rsid w:val="007B182E"/>
    <w:rsid w:val="007B1A44"/>
    <w:rsid w:val="007B1CC7"/>
    <w:rsid w:val="007B2340"/>
    <w:rsid w:val="007B23DA"/>
    <w:rsid w:val="007B2AAA"/>
    <w:rsid w:val="007B509B"/>
    <w:rsid w:val="007B6173"/>
    <w:rsid w:val="007B733B"/>
    <w:rsid w:val="007B75CD"/>
    <w:rsid w:val="007C05E1"/>
    <w:rsid w:val="007C07A0"/>
    <w:rsid w:val="007C0E86"/>
    <w:rsid w:val="007C31A8"/>
    <w:rsid w:val="007C343E"/>
    <w:rsid w:val="007C3620"/>
    <w:rsid w:val="007C3F4A"/>
    <w:rsid w:val="007C4C13"/>
    <w:rsid w:val="007C5AF2"/>
    <w:rsid w:val="007C7118"/>
    <w:rsid w:val="007C71D4"/>
    <w:rsid w:val="007C773B"/>
    <w:rsid w:val="007C7F16"/>
    <w:rsid w:val="007D0DBA"/>
    <w:rsid w:val="007D18B2"/>
    <w:rsid w:val="007D3148"/>
    <w:rsid w:val="007D3DC9"/>
    <w:rsid w:val="007D4D48"/>
    <w:rsid w:val="007D72B0"/>
    <w:rsid w:val="007E070B"/>
    <w:rsid w:val="007E0B56"/>
    <w:rsid w:val="007E0ED8"/>
    <w:rsid w:val="007E15B1"/>
    <w:rsid w:val="007E1F50"/>
    <w:rsid w:val="007E2D5E"/>
    <w:rsid w:val="007E2D8F"/>
    <w:rsid w:val="007E335C"/>
    <w:rsid w:val="007E3E67"/>
    <w:rsid w:val="007E4B23"/>
    <w:rsid w:val="007E553C"/>
    <w:rsid w:val="007E60AE"/>
    <w:rsid w:val="007E666A"/>
    <w:rsid w:val="007E6A66"/>
    <w:rsid w:val="007E6CF6"/>
    <w:rsid w:val="007E78FA"/>
    <w:rsid w:val="007E7ADE"/>
    <w:rsid w:val="007E7DF1"/>
    <w:rsid w:val="007F06FE"/>
    <w:rsid w:val="007F106E"/>
    <w:rsid w:val="007F1299"/>
    <w:rsid w:val="007F16AF"/>
    <w:rsid w:val="007F256B"/>
    <w:rsid w:val="007F395E"/>
    <w:rsid w:val="007F4067"/>
    <w:rsid w:val="007F5B95"/>
    <w:rsid w:val="007F6B92"/>
    <w:rsid w:val="008002A5"/>
    <w:rsid w:val="00800A0B"/>
    <w:rsid w:val="00801239"/>
    <w:rsid w:val="008015F8"/>
    <w:rsid w:val="00801A02"/>
    <w:rsid w:val="00803157"/>
    <w:rsid w:val="0080341A"/>
    <w:rsid w:val="00803D60"/>
    <w:rsid w:val="00804CDB"/>
    <w:rsid w:val="008057BA"/>
    <w:rsid w:val="00805C08"/>
    <w:rsid w:val="0080611D"/>
    <w:rsid w:val="008064A1"/>
    <w:rsid w:val="0080654A"/>
    <w:rsid w:val="008066CE"/>
    <w:rsid w:val="00807F71"/>
    <w:rsid w:val="0081202F"/>
    <w:rsid w:val="00813013"/>
    <w:rsid w:val="008136D0"/>
    <w:rsid w:val="00814148"/>
    <w:rsid w:val="00814992"/>
    <w:rsid w:val="00814A9D"/>
    <w:rsid w:val="0081543A"/>
    <w:rsid w:val="0081790F"/>
    <w:rsid w:val="0082046B"/>
    <w:rsid w:val="00821706"/>
    <w:rsid w:val="00821B10"/>
    <w:rsid w:val="00824461"/>
    <w:rsid w:val="0082455C"/>
    <w:rsid w:val="00824EBB"/>
    <w:rsid w:val="008258C2"/>
    <w:rsid w:val="00825C80"/>
    <w:rsid w:val="00826EAA"/>
    <w:rsid w:val="008301DF"/>
    <w:rsid w:val="00831126"/>
    <w:rsid w:val="008335CE"/>
    <w:rsid w:val="00833FC1"/>
    <w:rsid w:val="00834CBC"/>
    <w:rsid w:val="0083648C"/>
    <w:rsid w:val="00837264"/>
    <w:rsid w:val="00841943"/>
    <w:rsid w:val="0084204D"/>
    <w:rsid w:val="0084233F"/>
    <w:rsid w:val="00842EC9"/>
    <w:rsid w:val="00843947"/>
    <w:rsid w:val="0084448C"/>
    <w:rsid w:val="00845B69"/>
    <w:rsid w:val="00847777"/>
    <w:rsid w:val="00847F1D"/>
    <w:rsid w:val="00851982"/>
    <w:rsid w:val="00852F6C"/>
    <w:rsid w:val="00853359"/>
    <w:rsid w:val="00853422"/>
    <w:rsid w:val="0085356F"/>
    <w:rsid w:val="00853E07"/>
    <w:rsid w:val="00854805"/>
    <w:rsid w:val="008563C9"/>
    <w:rsid w:val="008564A4"/>
    <w:rsid w:val="00856994"/>
    <w:rsid w:val="00857990"/>
    <w:rsid w:val="00861460"/>
    <w:rsid w:val="008620FD"/>
    <w:rsid w:val="0086277E"/>
    <w:rsid w:val="00862920"/>
    <w:rsid w:val="0086348C"/>
    <w:rsid w:val="00863907"/>
    <w:rsid w:val="008639DA"/>
    <w:rsid w:val="00864526"/>
    <w:rsid w:val="00865133"/>
    <w:rsid w:val="008654C2"/>
    <w:rsid w:val="00865A9E"/>
    <w:rsid w:val="00870144"/>
    <w:rsid w:val="00870638"/>
    <w:rsid w:val="00870B22"/>
    <w:rsid w:val="00870B64"/>
    <w:rsid w:val="00871A2F"/>
    <w:rsid w:val="00871BA6"/>
    <w:rsid w:val="00871CCF"/>
    <w:rsid w:val="00872DB1"/>
    <w:rsid w:val="00874577"/>
    <w:rsid w:val="00875E2E"/>
    <w:rsid w:val="008763B3"/>
    <w:rsid w:val="00876875"/>
    <w:rsid w:val="00877170"/>
    <w:rsid w:val="00877BBC"/>
    <w:rsid w:val="0088095B"/>
    <w:rsid w:val="00880C43"/>
    <w:rsid w:val="0088194E"/>
    <w:rsid w:val="00883499"/>
    <w:rsid w:val="00884353"/>
    <w:rsid w:val="00885853"/>
    <w:rsid w:val="00885A71"/>
    <w:rsid w:val="00885FB4"/>
    <w:rsid w:val="00886D10"/>
    <w:rsid w:val="008873E2"/>
    <w:rsid w:val="00887E80"/>
    <w:rsid w:val="008916EC"/>
    <w:rsid w:val="0089187E"/>
    <w:rsid w:val="00894930"/>
    <w:rsid w:val="0089570F"/>
    <w:rsid w:val="0089571D"/>
    <w:rsid w:val="0089683F"/>
    <w:rsid w:val="00896AB4"/>
    <w:rsid w:val="008A041F"/>
    <w:rsid w:val="008A0A4C"/>
    <w:rsid w:val="008A0D2F"/>
    <w:rsid w:val="008A14F1"/>
    <w:rsid w:val="008A1FAA"/>
    <w:rsid w:val="008A3998"/>
    <w:rsid w:val="008A3AE8"/>
    <w:rsid w:val="008A45E7"/>
    <w:rsid w:val="008A5638"/>
    <w:rsid w:val="008A5D24"/>
    <w:rsid w:val="008A6CEA"/>
    <w:rsid w:val="008A6E2D"/>
    <w:rsid w:val="008A7F16"/>
    <w:rsid w:val="008B07DD"/>
    <w:rsid w:val="008B0941"/>
    <w:rsid w:val="008B0AF4"/>
    <w:rsid w:val="008B1910"/>
    <w:rsid w:val="008B1CC2"/>
    <w:rsid w:val="008B2033"/>
    <w:rsid w:val="008B305D"/>
    <w:rsid w:val="008B3C18"/>
    <w:rsid w:val="008B5BEA"/>
    <w:rsid w:val="008B6355"/>
    <w:rsid w:val="008B6978"/>
    <w:rsid w:val="008B7C87"/>
    <w:rsid w:val="008B7E65"/>
    <w:rsid w:val="008C056F"/>
    <w:rsid w:val="008C0B49"/>
    <w:rsid w:val="008C14C4"/>
    <w:rsid w:val="008C18FC"/>
    <w:rsid w:val="008C2654"/>
    <w:rsid w:val="008C27A7"/>
    <w:rsid w:val="008C2A0E"/>
    <w:rsid w:val="008C2F17"/>
    <w:rsid w:val="008C3A17"/>
    <w:rsid w:val="008C4133"/>
    <w:rsid w:val="008C4232"/>
    <w:rsid w:val="008C47C2"/>
    <w:rsid w:val="008C4842"/>
    <w:rsid w:val="008C48D7"/>
    <w:rsid w:val="008C5397"/>
    <w:rsid w:val="008C5683"/>
    <w:rsid w:val="008C5D5E"/>
    <w:rsid w:val="008C6E73"/>
    <w:rsid w:val="008C7405"/>
    <w:rsid w:val="008C7445"/>
    <w:rsid w:val="008C7854"/>
    <w:rsid w:val="008D05FD"/>
    <w:rsid w:val="008D16DF"/>
    <w:rsid w:val="008D27BD"/>
    <w:rsid w:val="008D3115"/>
    <w:rsid w:val="008D4768"/>
    <w:rsid w:val="008D5733"/>
    <w:rsid w:val="008D6A58"/>
    <w:rsid w:val="008D799B"/>
    <w:rsid w:val="008D7C8B"/>
    <w:rsid w:val="008D7DDB"/>
    <w:rsid w:val="008E016F"/>
    <w:rsid w:val="008E0D16"/>
    <w:rsid w:val="008E0ED5"/>
    <w:rsid w:val="008E18F9"/>
    <w:rsid w:val="008E2ACC"/>
    <w:rsid w:val="008E4CBA"/>
    <w:rsid w:val="008E4D9C"/>
    <w:rsid w:val="008E4E59"/>
    <w:rsid w:val="008E5BBC"/>
    <w:rsid w:val="008E6780"/>
    <w:rsid w:val="008E7192"/>
    <w:rsid w:val="008E74A0"/>
    <w:rsid w:val="008E74F8"/>
    <w:rsid w:val="008F1B8B"/>
    <w:rsid w:val="008F1EE7"/>
    <w:rsid w:val="008F2124"/>
    <w:rsid w:val="008F2490"/>
    <w:rsid w:val="008F42C6"/>
    <w:rsid w:val="008F47DF"/>
    <w:rsid w:val="008F573C"/>
    <w:rsid w:val="008F60FF"/>
    <w:rsid w:val="008F62C6"/>
    <w:rsid w:val="008F64D3"/>
    <w:rsid w:val="008F6C5E"/>
    <w:rsid w:val="008F7A4B"/>
    <w:rsid w:val="008F7C63"/>
    <w:rsid w:val="00900010"/>
    <w:rsid w:val="0090026D"/>
    <w:rsid w:val="00900B7B"/>
    <w:rsid w:val="00901718"/>
    <w:rsid w:val="009020D3"/>
    <w:rsid w:val="009020E6"/>
    <w:rsid w:val="00903221"/>
    <w:rsid w:val="00904565"/>
    <w:rsid w:val="0090578C"/>
    <w:rsid w:val="00906E57"/>
    <w:rsid w:val="00907167"/>
    <w:rsid w:val="00911CF6"/>
    <w:rsid w:val="009120C5"/>
    <w:rsid w:val="00913DD2"/>
    <w:rsid w:val="009144AE"/>
    <w:rsid w:val="009149B2"/>
    <w:rsid w:val="009158C4"/>
    <w:rsid w:val="00916484"/>
    <w:rsid w:val="0092318B"/>
    <w:rsid w:val="00923A4E"/>
    <w:rsid w:val="00923FCF"/>
    <w:rsid w:val="0092511B"/>
    <w:rsid w:val="009253A1"/>
    <w:rsid w:val="00926C35"/>
    <w:rsid w:val="00927319"/>
    <w:rsid w:val="009276EC"/>
    <w:rsid w:val="00930064"/>
    <w:rsid w:val="00931A53"/>
    <w:rsid w:val="00931E7A"/>
    <w:rsid w:val="0093259E"/>
    <w:rsid w:val="00932A78"/>
    <w:rsid w:val="0093314C"/>
    <w:rsid w:val="00934A55"/>
    <w:rsid w:val="00935856"/>
    <w:rsid w:val="00935BB6"/>
    <w:rsid w:val="00935D64"/>
    <w:rsid w:val="00936079"/>
    <w:rsid w:val="00936085"/>
    <w:rsid w:val="00936B75"/>
    <w:rsid w:val="009403AF"/>
    <w:rsid w:val="00940427"/>
    <w:rsid w:val="0094217E"/>
    <w:rsid w:val="00944B02"/>
    <w:rsid w:val="0094504F"/>
    <w:rsid w:val="009450B6"/>
    <w:rsid w:val="00945C19"/>
    <w:rsid w:val="00945F30"/>
    <w:rsid w:val="00946F0F"/>
    <w:rsid w:val="00946F9C"/>
    <w:rsid w:val="00947517"/>
    <w:rsid w:val="00947E1B"/>
    <w:rsid w:val="00950AFC"/>
    <w:rsid w:val="009511C6"/>
    <w:rsid w:val="0095295B"/>
    <w:rsid w:val="00953256"/>
    <w:rsid w:val="00954069"/>
    <w:rsid w:val="009544F7"/>
    <w:rsid w:val="009550FE"/>
    <w:rsid w:val="00955179"/>
    <w:rsid w:val="00956014"/>
    <w:rsid w:val="009568F5"/>
    <w:rsid w:val="00956F53"/>
    <w:rsid w:val="00960466"/>
    <w:rsid w:val="00960C9B"/>
    <w:rsid w:val="0096284C"/>
    <w:rsid w:val="00962F8E"/>
    <w:rsid w:val="0096305E"/>
    <w:rsid w:val="0096347F"/>
    <w:rsid w:val="009634B8"/>
    <w:rsid w:val="00963AC1"/>
    <w:rsid w:val="009659F4"/>
    <w:rsid w:val="00966E90"/>
    <w:rsid w:val="009674DD"/>
    <w:rsid w:val="00967927"/>
    <w:rsid w:val="00970480"/>
    <w:rsid w:val="00970774"/>
    <w:rsid w:val="0097241A"/>
    <w:rsid w:val="0097254A"/>
    <w:rsid w:val="009729F1"/>
    <w:rsid w:val="0097460F"/>
    <w:rsid w:val="00976BD1"/>
    <w:rsid w:val="0097703C"/>
    <w:rsid w:val="009772A9"/>
    <w:rsid w:val="00977754"/>
    <w:rsid w:val="0098105C"/>
    <w:rsid w:val="0098184E"/>
    <w:rsid w:val="00983D30"/>
    <w:rsid w:val="00984D6C"/>
    <w:rsid w:val="00984E36"/>
    <w:rsid w:val="00985527"/>
    <w:rsid w:val="00985EC6"/>
    <w:rsid w:val="00986146"/>
    <w:rsid w:val="009861BC"/>
    <w:rsid w:val="009861ED"/>
    <w:rsid w:val="009867A4"/>
    <w:rsid w:val="00986CE9"/>
    <w:rsid w:val="00986D48"/>
    <w:rsid w:val="00987A3F"/>
    <w:rsid w:val="009908DC"/>
    <w:rsid w:val="009910F0"/>
    <w:rsid w:val="00991116"/>
    <w:rsid w:val="009912D0"/>
    <w:rsid w:val="00991984"/>
    <w:rsid w:val="0099286A"/>
    <w:rsid w:val="00992E31"/>
    <w:rsid w:val="009930AA"/>
    <w:rsid w:val="00993D2D"/>
    <w:rsid w:val="00995826"/>
    <w:rsid w:val="009960A3"/>
    <w:rsid w:val="00996946"/>
    <w:rsid w:val="00996FFF"/>
    <w:rsid w:val="00997342"/>
    <w:rsid w:val="00997EBA"/>
    <w:rsid w:val="009A0551"/>
    <w:rsid w:val="009A05AF"/>
    <w:rsid w:val="009A20F9"/>
    <w:rsid w:val="009A2AFE"/>
    <w:rsid w:val="009A3041"/>
    <w:rsid w:val="009A3992"/>
    <w:rsid w:val="009A4575"/>
    <w:rsid w:val="009A6393"/>
    <w:rsid w:val="009A6565"/>
    <w:rsid w:val="009A69A3"/>
    <w:rsid w:val="009A6D83"/>
    <w:rsid w:val="009A7172"/>
    <w:rsid w:val="009A7583"/>
    <w:rsid w:val="009B092F"/>
    <w:rsid w:val="009B5DE4"/>
    <w:rsid w:val="009B637C"/>
    <w:rsid w:val="009B792E"/>
    <w:rsid w:val="009C001E"/>
    <w:rsid w:val="009C0364"/>
    <w:rsid w:val="009C04A0"/>
    <w:rsid w:val="009C1586"/>
    <w:rsid w:val="009C1785"/>
    <w:rsid w:val="009C1E76"/>
    <w:rsid w:val="009C2787"/>
    <w:rsid w:val="009C2B43"/>
    <w:rsid w:val="009C3045"/>
    <w:rsid w:val="009C368B"/>
    <w:rsid w:val="009C4E5C"/>
    <w:rsid w:val="009C6570"/>
    <w:rsid w:val="009C7005"/>
    <w:rsid w:val="009C774D"/>
    <w:rsid w:val="009C7D9C"/>
    <w:rsid w:val="009D18B5"/>
    <w:rsid w:val="009D2975"/>
    <w:rsid w:val="009D2CEA"/>
    <w:rsid w:val="009D3715"/>
    <w:rsid w:val="009D3905"/>
    <w:rsid w:val="009D4E57"/>
    <w:rsid w:val="009D4F88"/>
    <w:rsid w:val="009D61F9"/>
    <w:rsid w:val="009D6301"/>
    <w:rsid w:val="009D7543"/>
    <w:rsid w:val="009E0809"/>
    <w:rsid w:val="009E11B8"/>
    <w:rsid w:val="009E18CB"/>
    <w:rsid w:val="009E2411"/>
    <w:rsid w:val="009E2D94"/>
    <w:rsid w:val="009E3075"/>
    <w:rsid w:val="009E32DC"/>
    <w:rsid w:val="009E6F3A"/>
    <w:rsid w:val="009E777E"/>
    <w:rsid w:val="009E77C7"/>
    <w:rsid w:val="009F0449"/>
    <w:rsid w:val="009F0CA1"/>
    <w:rsid w:val="009F0D7C"/>
    <w:rsid w:val="009F1F2B"/>
    <w:rsid w:val="009F2073"/>
    <w:rsid w:val="009F22D0"/>
    <w:rsid w:val="009F2482"/>
    <w:rsid w:val="009F2CBC"/>
    <w:rsid w:val="009F2EBA"/>
    <w:rsid w:val="009F3A95"/>
    <w:rsid w:val="009F3B71"/>
    <w:rsid w:val="009F3F8E"/>
    <w:rsid w:val="009F4658"/>
    <w:rsid w:val="009F5B1C"/>
    <w:rsid w:val="009F5C57"/>
    <w:rsid w:val="009F62AB"/>
    <w:rsid w:val="009F73E1"/>
    <w:rsid w:val="009F7B71"/>
    <w:rsid w:val="00A00093"/>
    <w:rsid w:val="00A014CF"/>
    <w:rsid w:val="00A0377B"/>
    <w:rsid w:val="00A039E1"/>
    <w:rsid w:val="00A0496A"/>
    <w:rsid w:val="00A05AF7"/>
    <w:rsid w:val="00A06E17"/>
    <w:rsid w:val="00A104E1"/>
    <w:rsid w:val="00A10C79"/>
    <w:rsid w:val="00A117A7"/>
    <w:rsid w:val="00A11E73"/>
    <w:rsid w:val="00A122B0"/>
    <w:rsid w:val="00A125C0"/>
    <w:rsid w:val="00A1470E"/>
    <w:rsid w:val="00A165BE"/>
    <w:rsid w:val="00A17D0C"/>
    <w:rsid w:val="00A20A39"/>
    <w:rsid w:val="00A2101F"/>
    <w:rsid w:val="00A22176"/>
    <w:rsid w:val="00A22CE0"/>
    <w:rsid w:val="00A2419D"/>
    <w:rsid w:val="00A246A7"/>
    <w:rsid w:val="00A25012"/>
    <w:rsid w:val="00A2534E"/>
    <w:rsid w:val="00A26E22"/>
    <w:rsid w:val="00A270E3"/>
    <w:rsid w:val="00A271D1"/>
    <w:rsid w:val="00A27336"/>
    <w:rsid w:val="00A27AB6"/>
    <w:rsid w:val="00A30AC3"/>
    <w:rsid w:val="00A33512"/>
    <w:rsid w:val="00A339C9"/>
    <w:rsid w:val="00A342B3"/>
    <w:rsid w:val="00A34551"/>
    <w:rsid w:val="00A3496D"/>
    <w:rsid w:val="00A35E65"/>
    <w:rsid w:val="00A36C4C"/>
    <w:rsid w:val="00A371C3"/>
    <w:rsid w:val="00A37B7E"/>
    <w:rsid w:val="00A401A9"/>
    <w:rsid w:val="00A4198A"/>
    <w:rsid w:val="00A4411C"/>
    <w:rsid w:val="00A44BC1"/>
    <w:rsid w:val="00A44F90"/>
    <w:rsid w:val="00A45D6B"/>
    <w:rsid w:val="00A461D7"/>
    <w:rsid w:val="00A47259"/>
    <w:rsid w:val="00A474CD"/>
    <w:rsid w:val="00A507F4"/>
    <w:rsid w:val="00A52175"/>
    <w:rsid w:val="00A52738"/>
    <w:rsid w:val="00A53B2E"/>
    <w:rsid w:val="00A53D39"/>
    <w:rsid w:val="00A554A4"/>
    <w:rsid w:val="00A55E41"/>
    <w:rsid w:val="00A56DF5"/>
    <w:rsid w:val="00A5736F"/>
    <w:rsid w:val="00A57481"/>
    <w:rsid w:val="00A57CC7"/>
    <w:rsid w:val="00A57D60"/>
    <w:rsid w:val="00A6067E"/>
    <w:rsid w:val="00A611DF"/>
    <w:rsid w:val="00A61BDE"/>
    <w:rsid w:val="00A62EAE"/>
    <w:rsid w:val="00A6373F"/>
    <w:rsid w:val="00A645E8"/>
    <w:rsid w:val="00A64F29"/>
    <w:rsid w:val="00A652C5"/>
    <w:rsid w:val="00A66789"/>
    <w:rsid w:val="00A66918"/>
    <w:rsid w:val="00A678FC"/>
    <w:rsid w:val="00A70117"/>
    <w:rsid w:val="00A72544"/>
    <w:rsid w:val="00A726D8"/>
    <w:rsid w:val="00A73313"/>
    <w:rsid w:val="00A7356E"/>
    <w:rsid w:val="00A746C3"/>
    <w:rsid w:val="00A77AC7"/>
    <w:rsid w:val="00A80184"/>
    <w:rsid w:val="00A805E8"/>
    <w:rsid w:val="00A80869"/>
    <w:rsid w:val="00A80E60"/>
    <w:rsid w:val="00A81198"/>
    <w:rsid w:val="00A81340"/>
    <w:rsid w:val="00A823F1"/>
    <w:rsid w:val="00A82BA7"/>
    <w:rsid w:val="00A83587"/>
    <w:rsid w:val="00A83C01"/>
    <w:rsid w:val="00A83D93"/>
    <w:rsid w:val="00A84E9E"/>
    <w:rsid w:val="00A8522B"/>
    <w:rsid w:val="00A86CFF"/>
    <w:rsid w:val="00A87D38"/>
    <w:rsid w:val="00A92557"/>
    <w:rsid w:val="00A93815"/>
    <w:rsid w:val="00A93974"/>
    <w:rsid w:val="00A93B30"/>
    <w:rsid w:val="00A93CD3"/>
    <w:rsid w:val="00A95282"/>
    <w:rsid w:val="00A96EAF"/>
    <w:rsid w:val="00A96F2A"/>
    <w:rsid w:val="00A9713D"/>
    <w:rsid w:val="00AA13A9"/>
    <w:rsid w:val="00AA1B58"/>
    <w:rsid w:val="00AA1B92"/>
    <w:rsid w:val="00AA20AF"/>
    <w:rsid w:val="00AA2859"/>
    <w:rsid w:val="00AA2BA8"/>
    <w:rsid w:val="00AA32D9"/>
    <w:rsid w:val="00AA4B8D"/>
    <w:rsid w:val="00AA4EC8"/>
    <w:rsid w:val="00AA6057"/>
    <w:rsid w:val="00AA7131"/>
    <w:rsid w:val="00AA7D2D"/>
    <w:rsid w:val="00AB0950"/>
    <w:rsid w:val="00AB0B1F"/>
    <w:rsid w:val="00AB0CF6"/>
    <w:rsid w:val="00AB125B"/>
    <w:rsid w:val="00AB1FCF"/>
    <w:rsid w:val="00AB26D3"/>
    <w:rsid w:val="00AB3344"/>
    <w:rsid w:val="00AB3A7A"/>
    <w:rsid w:val="00AB4256"/>
    <w:rsid w:val="00AB4992"/>
    <w:rsid w:val="00AB5883"/>
    <w:rsid w:val="00AB7AD3"/>
    <w:rsid w:val="00AC2F4D"/>
    <w:rsid w:val="00AC31C2"/>
    <w:rsid w:val="00AC5650"/>
    <w:rsid w:val="00AC60EB"/>
    <w:rsid w:val="00AC7288"/>
    <w:rsid w:val="00AC7D59"/>
    <w:rsid w:val="00AD000E"/>
    <w:rsid w:val="00AD3B6C"/>
    <w:rsid w:val="00AD4A4B"/>
    <w:rsid w:val="00AD4E3A"/>
    <w:rsid w:val="00AD4E8C"/>
    <w:rsid w:val="00AD52F7"/>
    <w:rsid w:val="00AD63BF"/>
    <w:rsid w:val="00AD6AA4"/>
    <w:rsid w:val="00AD78DC"/>
    <w:rsid w:val="00AE0744"/>
    <w:rsid w:val="00AE28D7"/>
    <w:rsid w:val="00AE3C23"/>
    <w:rsid w:val="00AE4370"/>
    <w:rsid w:val="00AE48AA"/>
    <w:rsid w:val="00AE5099"/>
    <w:rsid w:val="00AE6755"/>
    <w:rsid w:val="00AE67BE"/>
    <w:rsid w:val="00AE6E23"/>
    <w:rsid w:val="00AE7F0A"/>
    <w:rsid w:val="00AF053A"/>
    <w:rsid w:val="00AF1016"/>
    <w:rsid w:val="00AF2434"/>
    <w:rsid w:val="00AF2464"/>
    <w:rsid w:val="00AF2A96"/>
    <w:rsid w:val="00AF3268"/>
    <w:rsid w:val="00AF3E66"/>
    <w:rsid w:val="00AF5F7F"/>
    <w:rsid w:val="00AF65B6"/>
    <w:rsid w:val="00AF7037"/>
    <w:rsid w:val="00AF78A2"/>
    <w:rsid w:val="00AF7956"/>
    <w:rsid w:val="00AF7AF2"/>
    <w:rsid w:val="00B00526"/>
    <w:rsid w:val="00B00B3D"/>
    <w:rsid w:val="00B01A77"/>
    <w:rsid w:val="00B01FC5"/>
    <w:rsid w:val="00B02027"/>
    <w:rsid w:val="00B02824"/>
    <w:rsid w:val="00B02CEF"/>
    <w:rsid w:val="00B03EEA"/>
    <w:rsid w:val="00B04113"/>
    <w:rsid w:val="00B04E9D"/>
    <w:rsid w:val="00B05405"/>
    <w:rsid w:val="00B06E49"/>
    <w:rsid w:val="00B06ED8"/>
    <w:rsid w:val="00B06F04"/>
    <w:rsid w:val="00B06FCE"/>
    <w:rsid w:val="00B070D1"/>
    <w:rsid w:val="00B07134"/>
    <w:rsid w:val="00B076E3"/>
    <w:rsid w:val="00B10569"/>
    <w:rsid w:val="00B11678"/>
    <w:rsid w:val="00B116E7"/>
    <w:rsid w:val="00B12328"/>
    <w:rsid w:val="00B12639"/>
    <w:rsid w:val="00B12E2E"/>
    <w:rsid w:val="00B141A8"/>
    <w:rsid w:val="00B1657B"/>
    <w:rsid w:val="00B17940"/>
    <w:rsid w:val="00B212A6"/>
    <w:rsid w:val="00B23A79"/>
    <w:rsid w:val="00B23B50"/>
    <w:rsid w:val="00B24944"/>
    <w:rsid w:val="00B24CA1"/>
    <w:rsid w:val="00B252E5"/>
    <w:rsid w:val="00B27C62"/>
    <w:rsid w:val="00B30674"/>
    <w:rsid w:val="00B317B9"/>
    <w:rsid w:val="00B31805"/>
    <w:rsid w:val="00B31EFE"/>
    <w:rsid w:val="00B33EAB"/>
    <w:rsid w:val="00B33EBF"/>
    <w:rsid w:val="00B35783"/>
    <w:rsid w:val="00B35BFC"/>
    <w:rsid w:val="00B35C7C"/>
    <w:rsid w:val="00B35C8A"/>
    <w:rsid w:val="00B35CE6"/>
    <w:rsid w:val="00B35F83"/>
    <w:rsid w:val="00B36914"/>
    <w:rsid w:val="00B378AC"/>
    <w:rsid w:val="00B4063D"/>
    <w:rsid w:val="00B406DE"/>
    <w:rsid w:val="00B41EFC"/>
    <w:rsid w:val="00B435A5"/>
    <w:rsid w:val="00B43E4E"/>
    <w:rsid w:val="00B43F4E"/>
    <w:rsid w:val="00B444A8"/>
    <w:rsid w:val="00B4474F"/>
    <w:rsid w:val="00B450BA"/>
    <w:rsid w:val="00B460D4"/>
    <w:rsid w:val="00B46AD0"/>
    <w:rsid w:val="00B46CB9"/>
    <w:rsid w:val="00B46E1C"/>
    <w:rsid w:val="00B4736B"/>
    <w:rsid w:val="00B47D76"/>
    <w:rsid w:val="00B5003A"/>
    <w:rsid w:val="00B50613"/>
    <w:rsid w:val="00B515A8"/>
    <w:rsid w:val="00B51D54"/>
    <w:rsid w:val="00B51D9C"/>
    <w:rsid w:val="00B528B9"/>
    <w:rsid w:val="00B53052"/>
    <w:rsid w:val="00B546C1"/>
    <w:rsid w:val="00B54C86"/>
    <w:rsid w:val="00B54F38"/>
    <w:rsid w:val="00B55CB8"/>
    <w:rsid w:val="00B56580"/>
    <w:rsid w:val="00B60E04"/>
    <w:rsid w:val="00B61B1A"/>
    <w:rsid w:val="00B61F86"/>
    <w:rsid w:val="00B6303B"/>
    <w:rsid w:val="00B648AC"/>
    <w:rsid w:val="00B66243"/>
    <w:rsid w:val="00B66505"/>
    <w:rsid w:val="00B66DA3"/>
    <w:rsid w:val="00B66F38"/>
    <w:rsid w:val="00B671A3"/>
    <w:rsid w:val="00B676E1"/>
    <w:rsid w:val="00B67ADC"/>
    <w:rsid w:val="00B67ADE"/>
    <w:rsid w:val="00B707E1"/>
    <w:rsid w:val="00B72195"/>
    <w:rsid w:val="00B76002"/>
    <w:rsid w:val="00B76119"/>
    <w:rsid w:val="00B80032"/>
    <w:rsid w:val="00B80133"/>
    <w:rsid w:val="00B8014A"/>
    <w:rsid w:val="00B80A0A"/>
    <w:rsid w:val="00B8132D"/>
    <w:rsid w:val="00B824E6"/>
    <w:rsid w:val="00B82CAE"/>
    <w:rsid w:val="00B83DF8"/>
    <w:rsid w:val="00B83FE7"/>
    <w:rsid w:val="00B846C8"/>
    <w:rsid w:val="00B87690"/>
    <w:rsid w:val="00B90706"/>
    <w:rsid w:val="00B90FA7"/>
    <w:rsid w:val="00B91C2F"/>
    <w:rsid w:val="00B92A73"/>
    <w:rsid w:val="00B9401C"/>
    <w:rsid w:val="00B94335"/>
    <w:rsid w:val="00B954DB"/>
    <w:rsid w:val="00B9587C"/>
    <w:rsid w:val="00B96683"/>
    <w:rsid w:val="00B9673C"/>
    <w:rsid w:val="00BA029D"/>
    <w:rsid w:val="00BA04AF"/>
    <w:rsid w:val="00BA13D2"/>
    <w:rsid w:val="00BA1AB7"/>
    <w:rsid w:val="00BA41E6"/>
    <w:rsid w:val="00BA4BA9"/>
    <w:rsid w:val="00BA4DF0"/>
    <w:rsid w:val="00BA4ECB"/>
    <w:rsid w:val="00BA5D6A"/>
    <w:rsid w:val="00BA61A9"/>
    <w:rsid w:val="00BA660E"/>
    <w:rsid w:val="00BA6C2B"/>
    <w:rsid w:val="00BB0EAC"/>
    <w:rsid w:val="00BB26FC"/>
    <w:rsid w:val="00BB275D"/>
    <w:rsid w:val="00BB36A1"/>
    <w:rsid w:val="00BB4154"/>
    <w:rsid w:val="00BB5632"/>
    <w:rsid w:val="00BB62AD"/>
    <w:rsid w:val="00BB6826"/>
    <w:rsid w:val="00BB797F"/>
    <w:rsid w:val="00BC01E4"/>
    <w:rsid w:val="00BC029A"/>
    <w:rsid w:val="00BC06C3"/>
    <w:rsid w:val="00BC2761"/>
    <w:rsid w:val="00BC3103"/>
    <w:rsid w:val="00BC4DD1"/>
    <w:rsid w:val="00BC4F33"/>
    <w:rsid w:val="00BC4F3E"/>
    <w:rsid w:val="00BC50F2"/>
    <w:rsid w:val="00BC531E"/>
    <w:rsid w:val="00BC5AD6"/>
    <w:rsid w:val="00BC5EBE"/>
    <w:rsid w:val="00BC5FF6"/>
    <w:rsid w:val="00BC7BEF"/>
    <w:rsid w:val="00BC7C07"/>
    <w:rsid w:val="00BD2705"/>
    <w:rsid w:val="00BD3093"/>
    <w:rsid w:val="00BD3312"/>
    <w:rsid w:val="00BD353D"/>
    <w:rsid w:val="00BD39A9"/>
    <w:rsid w:val="00BD4510"/>
    <w:rsid w:val="00BD5FCA"/>
    <w:rsid w:val="00BD6314"/>
    <w:rsid w:val="00BD68F2"/>
    <w:rsid w:val="00BD6CAD"/>
    <w:rsid w:val="00BD79AF"/>
    <w:rsid w:val="00BE076F"/>
    <w:rsid w:val="00BE0A91"/>
    <w:rsid w:val="00BE1EA6"/>
    <w:rsid w:val="00BE4D86"/>
    <w:rsid w:val="00BE51C2"/>
    <w:rsid w:val="00BE61B3"/>
    <w:rsid w:val="00BE6824"/>
    <w:rsid w:val="00BF089F"/>
    <w:rsid w:val="00BF0ACC"/>
    <w:rsid w:val="00BF0FCE"/>
    <w:rsid w:val="00BF17CC"/>
    <w:rsid w:val="00BF4D92"/>
    <w:rsid w:val="00BF5327"/>
    <w:rsid w:val="00BF6908"/>
    <w:rsid w:val="00BF692B"/>
    <w:rsid w:val="00C005CF"/>
    <w:rsid w:val="00C00AFD"/>
    <w:rsid w:val="00C01C51"/>
    <w:rsid w:val="00C02509"/>
    <w:rsid w:val="00C02EE5"/>
    <w:rsid w:val="00C04506"/>
    <w:rsid w:val="00C05ADD"/>
    <w:rsid w:val="00C05BB8"/>
    <w:rsid w:val="00C10B5E"/>
    <w:rsid w:val="00C11660"/>
    <w:rsid w:val="00C11BFE"/>
    <w:rsid w:val="00C12094"/>
    <w:rsid w:val="00C123CB"/>
    <w:rsid w:val="00C13105"/>
    <w:rsid w:val="00C142D9"/>
    <w:rsid w:val="00C149D4"/>
    <w:rsid w:val="00C15148"/>
    <w:rsid w:val="00C169EF"/>
    <w:rsid w:val="00C17459"/>
    <w:rsid w:val="00C17A44"/>
    <w:rsid w:val="00C17BA4"/>
    <w:rsid w:val="00C20520"/>
    <w:rsid w:val="00C20E4D"/>
    <w:rsid w:val="00C2316E"/>
    <w:rsid w:val="00C23418"/>
    <w:rsid w:val="00C23F60"/>
    <w:rsid w:val="00C24175"/>
    <w:rsid w:val="00C24895"/>
    <w:rsid w:val="00C25C58"/>
    <w:rsid w:val="00C263E3"/>
    <w:rsid w:val="00C26733"/>
    <w:rsid w:val="00C268C8"/>
    <w:rsid w:val="00C26E44"/>
    <w:rsid w:val="00C27BBB"/>
    <w:rsid w:val="00C30B9E"/>
    <w:rsid w:val="00C3198C"/>
    <w:rsid w:val="00C31A69"/>
    <w:rsid w:val="00C31D7C"/>
    <w:rsid w:val="00C33645"/>
    <w:rsid w:val="00C33E50"/>
    <w:rsid w:val="00C33FD8"/>
    <w:rsid w:val="00C34178"/>
    <w:rsid w:val="00C34943"/>
    <w:rsid w:val="00C34F72"/>
    <w:rsid w:val="00C350F2"/>
    <w:rsid w:val="00C35AB4"/>
    <w:rsid w:val="00C368B8"/>
    <w:rsid w:val="00C36FAA"/>
    <w:rsid w:val="00C37EFF"/>
    <w:rsid w:val="00C412E2"/>
    <w:rsid w:val="00C41380"/>
    <w:rsid w:val="00C41776"/>
    <w:rsid w:val="00C41E31"/>
    <w:rsid w:val="00C42EFC"/>
    <w:rsid w:val="00C450D2"/>
    <w:rsid w:val="00C4546B"/>
    <w:rsid w:val="00C4594A"/>
    <w:rsid w:val="00C45C39"/>
    <w:rsid w:val="00C46CE9"/>
    <w:rsid w:val="00C505B7"/>
    <w:rsid w:val="00C5073B"/>
    <w:rsid w:val="00C5073E"/>
    <w:rsid w:val="00C50C1F"/>
    <w:rsid w:val="00C51D0B"/>
    <w:rsid w:val="00C52A9D"/>
    <w:rsid w:val="00C55175"/>
    <w:rsid w:val="00C55A98"/>
    <w:rsid w:val="00C564DD"/>
    <w:rsid w:val="00C5729A"/>
    <w:rsid w:val="00C61171"/>
    <w:rsid w:val="00C6124D"/>
    <w:rsid w:val="00C61BAF"/>
    <w:rsid w:val="00C6223C"/>
    <w:rsid w:val="00C64CFD"/>
    <w:rsid w:val="00C666E2"/>
    <w:rsid w:val="00C67246"/>
    <w:rsid w:val="00C701AB"/>
    <w:rsid w:val="00C702C9"/>
    <w:rsid w:val="00C71014"/>
    <w:rsid w:val="00C72D10"/>
    <w:rsid w:val="00C73AE0"/>
    <w:rsid w:val="00C74D4D"/>
    <w:rsid w:val="00C74F3E"/>
    <w:rsid w:val="00C75064"/>
    <w:rsid w:val="00C761A8"/>
    <w:rsid w:val="00C765C9"/>
    <w:rsid w:val="00C77BA2"/>
    <w:rsid w:val="00C77C2B"/>
    <w:rsid w:val="00C81140"/>
    <w:rsid w:val="00C820A5"/>
    <w:rsid w:val="00C823A3"/>
    <w:rsid w:val="00C82B42"/>
    <w:rsid w:val="00C82EC0"/>
    <w:rsid w:val="00C82EE1"/>
    <w:rsid w:val="00C8364B"/>
    <w:rsid w:val="00C84143"/>
    <w:rsid w:val="00C84361"/>
    <w:rsid w:val="00C84C7F"/>
    <w:rsid w:val="00C84EB0"/>
    <w:rsid w:val="00C86D86"/>
    <w:rsid w:val="00C87901"/>
    <w:rsid w:val="00C90147"/>
    <w:rsid w:val="00C90572"/>
    <w:rsid w:val="00C90610"/>
    <w:rsid w:val="00C929E9"/>
    <w:rsid w:val="00C94B9A"/>
    <w:rsid w:val="00C95FC4"/>
    <w:rsid w:val="00C96AD5"/>
    <w:rsid w:val="00C97027"/>
    <w:rsid w:val="00C97877"/>
    <w:rsid w:val="00C97FCD"/>
    <w:rsid w:val="00CA043A"/>
    <w:rsid w:val="00CA09F1"/>
    <w:rsid w:val="00CA1E89"/>
    <w:rsid w:val="00CA3C01"/>
    <w:rsid w:val="00CA4904"/>
    <w:rsid w:val="00CA4989"/>
    <w:rsid w:val="00CA4DC7"/>
    <w:rsid w:val="00CA5BC6"/>
    <w:rsid w:val="00CA67E1"/>
    <w:rsid w:val="00CA6CDE"/>
    <w:rsid w:val="00CB0048"/>
    <w:rsid w:val="00CB04E2"/>
    <w:rsid w:val="00CB073A"/>
    <w:rsid w:val="00CB0DFC"/>
    <w:rsid w:val="00CB1937"/>
    <w:rsid w:val="00CB1A7B"/>
    <w:rsid w:val="00CB234F"/>
    <w:rsid w:val="00CB27CC"/>
    <w:rsid w:val="00CB426F"/>
    <w:rsid w:val="00CB4A9D"/>
    <w:rsid w:val="00CB4CCC"/>
    <w:rsid w:val="00CB4F3F"/>
    <w:rsid w:val="00CB506E"/>
    <w:rsid w:val="00CB6BC2"/>
    <w:rsid w:val="00CC0364"/>
    <w:rsid w:val="00CC04FD"/>
    <w:rsid w:val="00CC1B7A"/>
    <w:rsid w:val="00CC2F31"/>
    <w:rsid w:val="00CC305F"/>
    <w:rsid w:val="00CC32E6"/>
    <w:rsid w:val="00CC3341"/>
    <w:rsid w:val="00CC3DDC"/>
    <w:rsid w:val="00CC437D"/>
    <w:rsid w:val="00CC4FB7"/>
    <w:rsid w:val="00CC53F1"/>
    <w:rsid w:val="00CC5583"/>
    <w:rsid w:val="00CC57AE"/>
    <w:rsid w:val="00CC5E70"/>
    <w:rsid w:val="00CC6321"/>
    <w:rsid w:val="00CC6391"/>
    <w:rsid w:val="00CC68E2"/>
    <w:rsid w:val="00CD031C"/>
    <w:rsid w:val="00CD0380"/>
    <w:rsid w:val="00CD16D6"/>
    <w:rsid w:val="00CD1988"/>
    <w:rsid w:val="00CD2FFF"/>
    <w:rsid w:val="00CD4054"/>
    <w:rsid w:val="00CD47B3"/>
    <w:rsid w:val="00CD50D1"/>
    <w:rsid w:val="00CD6C66"/>
    <w:rsid w:val="00CD73E2"/>
    <w:rsid w:val="00CD78D3"/>
    <w:rsid w:val="00CE0D15"/>
    <w:rsid w:val="00CE150A"/>
    <w:rsid w:val="00CE164C"/>
    <w:rsid w:val="00CE218B"/>
    <w:rsid w:val="00CE27EC"/>
    <w:rsid w:val="00CE2B53"/>
    <w:rsid w:val="00CE2CF0"/>
    <w:rsid w:val="00CE4985"/>
    <w:rsid w:val="00CE4DB3"/>
    <w:rsid w:val="00CE57ED"/>
    <w:rsid w:val="00CE6772"/>
    <w:rsid w:val="00CE6EC9"/>
    <w:rsid w:val="00CE6F4B"/>
    <w:rsid w:val="00CE74D2"/>
    <w:rsid w:val="00CE7D36"/>
    <w:rsid w:val="00CF098E"/>
    <w:rsid w:val="00CF148E"/>
    <w:rsid w:val="00CF1506"/>
    <w:rsid w:val="00CF16D1"/>
    <w:rsid w:val="00CF2606"/>
    <w:rsid w:val="00CF300F"/>
    <w:rsid w:val="00CF3B08"/>
    <w:rsid w:val="00CF4E55"/>
    <w:rsid w:val="00CF4F02"/>
    <w:rsid w:val="00CF55E9"/>
    <w:rsid w:val="00CF5EDC"/>
    <w:rsid w:val="00CF6422"/>
    <w:rsid w:val="00CF6F2D"/>
    <w:rsid w:val="00CF716D"/>
    <w:rsid w:val="00CF77D6"/>
    <w:rsid w:val="00CF7B99"/>
    <w:rsid w:val="00CF7D8D"/>
    <w:rsid w:val="00CF7F60"/>
    <w:rsid w:val="00D00085"/>
    <w:rsid w:val="00D0195C"/>
    <w:rsid w:val="00D01C7A"/>
    <w:rsid w:val="00D0616A"/>
    <w:rsid w:val="00D06848"/>
    <w:rsid w:val="00D11487"/>
    <w:rsid w:val="00D114CC"/>
    <w:rsid w:val="00D11666"/>
    <w:rsid w:val="00D11D3E"/>
    <w:rsid w:val="00D11E6A"/>
    <w:rsid w:val="00D1263F"/>
    <w:rsid w:val="00D129AC"/>
    <w:rsid w:val="00D155A0"/>
    <w:rsid w:val="00D16735"/>
    <w:rsid w:val="00D16D8E"/>
    <w:rsid w:val="00D17D6C"/>
    <w:rsid w:val="00D21424"/>
    <w:rsid w:val="00D214A9"/>
    <w:rsid w:val="00D223A7"/>
    <w:rsid w:val="00D2254E"/>
    <w:rsid w:val="00D22A25"/>
    <w:rsid w:val="00D237A1"/>
    <w:rsid w:val="00D23B5B"/>
    <w:rsid w:val="00D241A8"/>
    <w:rsid w:val="00D2473E"/>
    <w:rsid w:val="00D24B36"/>
    <w:rsid w:val="00D24CA9"/>
    <w:rsid w:val="00D24E9C"/>
    <w:rsid w:val="00D25E93"/>
    <w:rsid w:val="00D27886"/>
    <w:rsid w:val="00D319AB"/>
    <w:rsid w:val="00D32F56"/>
    <w:rsid w:val="00D3352F"/>
    <w:rsid w:val="00D335CE"/>
    <w:rsid w:val="00D33971"/>
    <w:rsid w:val="00D345B0"/>
    <w:rsid w:val="00D34FDA"/>
    <w:rsid w:val="00D362C5"/>
    <w:rsid w:val="00D365E9"/>
    <w:rsid w:val="00D36973"/>
    <w:rsid w:val="00D375B0"/>
    <w:rsid w:val="00D40997"/>
    <w:rsid w:val="00D40A99"/>
    <w:rsid w:val="00D40C88"/>
    <w:rsid w:val="00D4222D"/>
    <w:rsid w:val="00D429F0"/>
    <w:rsid w:val="00D431C8"/>
    <w:rsid w:val="00D439D6"/>
    <w:rsid w:val="00D44055"/>
    <w:rsid w:val="00D4422E"/>
    <w:rsid w:val="00D44813"/>
    <w:rsid w:val="00D44C90"/>
    <w:rsid w:val="00D45F08"/>
    <w:rsid w:val="00D47A1B"/>
    <w:rsid w:val="00D47AF6"/>
    <w:rsid w:val="00D503BA"/>
    <w:rsid w:val="00D53825"/>
    <w:rsid w:val="00D54716"/>
    <w:rsid w:val="00D550BA"/>
    <w:rsid w:val="00D558EE"/>
    <w:rsid w:val="00D564CF"/>
    <w:rsid w:val="00D56804"/>
    <w:rsid w:val="00D56B0F"/>
    <w:rsid w:val="00D57782"/>
    <w:rsid w:val="00D60001"/>
    <w:rsid w:val="00D60527"/>
    <w:rsid w:val="00D608AF"/>
    <w:rsid w:val="00D617B4"/>
    <w:rsid w:val="00D63379"/>
    <w:rsid w:val="00D64180"/>
    <w:rsid w:val="00D64724"/>
    <w:rsid w:val="00D66627"/>
    <w:rsid w:val="00D66825"/>
    <w:rsid w:val="00D66B95"/>
    <w:rsid w:val="00D67BE0"/>
    <w:rsid w:val="00D71707"/>
    <w:rsid w:val="00D719D7"/>
    <w:rsid w:val="00D72054"/>
    <w:rsid w:val="00D722D2"/>
    <w:rsid w:val="00D726C3"/>
    <w:rsid w:val="00D729B2"/>
    <w:rsid w:val="00D7527C"/>
    <w:rsid w:val="00D75E25"/>
    <w:rsid w:val="00D76B82"/>
    <w:rsid w:val="00D77DA2"/>
    <w:rsid w:val="00D77E18"/>
    <w:rsid w:val="00D8073E"/>
    <w:rsid w:val="00D82137"/>
    <w:rsid w:val="00D8336B"/>
    <w:rsid w:val="00D83C9D"/>
    <w:rsid w:val="00D83DB0"/>
    <w:rsid w:val="00D84857"/>
    <w:rsid w:val="00D84FD4"/>
    <w:rsid w:val="00D87361"/>
    <w:rsid w:val="00D90AC9"/>
    <w:rsid w:val="00D90C8E"/>
    <w:rsid w:val="00D921FE"/>
    <w:rsid w:val="00D92F0B"/>
    <w:rsid w:val="00D93489"/>
    <w:rsid w:val="00D94871"/>
    <w:rsid w:val="00D9579B"/>
    <w:rsid w:val="00D95BC7"/>
    <w:rsid w:val="00D9707A"/>
    <w:rsid w:val="00D974E9"/>
    <w:rsid w:val="00DA02E5"/>
    <w:rsid w:val="00DA08A8"/>
    <w:rsid w:val="00DA0ABA"/>
    <w:rsid w:val="00DA11EC"/>
    <w:rsid w:val="00DA4C75"/>
    <w:rsid w:val="00DA5630"/>
    <w:rsid w:val="00DA5FD7"/>
    <w:rsid w:val="00DA6005"/>
    <w:rsid w:val="00DB00A6"/>
    <w:rsid w:val="00DB0664"/>
    <w:rsid w:val="00DB09C3"/>
    <w:rsid w:val="00DB1CBB"/>
    <w:rsid w:val="00DB292A"/>
    <w:rsid w:val="00DB32B6"/>
    <w:rsid w:val="00DB3906"/>
    <w:rsid w:val="00DB5367"/>
    <w:rsid w:val="00DB5821"/>
    <w:rsid w:val="00DC094A"/>
    <w:rsid w:val="00DC183A"/>
    <w:rsid w:val="00DC18C2"/>
    <w:rsid w:val="00DC269C"/>
    <w:rsid w:val="00DC38DE"/>
    <w:rsid w:val="00DC43B3"/>
    <w:rsid w:val="00DC4930"/>
    <w:rsid w:val="00DC5243"/>
    <w:rsid w:val="00DC656A"/>
    <w:rsid w:val="00DC739C"/>
    <w:rsid w:val="00DD1113"/>
    <w:rsid w:val="00DD32A3"/>
    <w:rsid w:val="00DD3FD8"/>
    <w:rsid w:val="00DD43F7"/>
    <w:rsid w:val="00DD5188"/>
    <w:rsid w:val="00DD51A5"/>
    <w:rsid w:val="00DD5363"/>
    <w:rsid w:val="00DD5BF8"/>
    <w:rsid w:val="00DD6CA7"/>
    <w:rsid w:val="00DE3EE4"/>
    <w:rsid w:val="00DE40E4"/>
    <w:rsid w:val="00DE4246"/>
    <w:rsid w:val="00DE47E9"/>
    <w:rsid w:val="00DE51D5"/>
    <w:rsid w:val="00DE5CB2"/>
    <w:rsid w:val="00DE6BF7"/>
    <w:rsid w:val="00DF01FC"/>
    <w:rsid w:val="00DF0635"/>
    <w:rsid w:val="00DF08FA"/>
    <w:rsid w:val="00DF1EFB"/>
    <w:rsid w:val="00DF2B01"/>
    <w:rsid w:val="00DF378E"/>
    <w:rsid w:val="00DF3970"/>
    <w:rsid w:val="00DF5F27"/>
    <w:rsid w:val="00DF629D"/>
    <w:rsid w:val="00DF6A86"/>
    <w:rsid w:val="00DF7871"/>
    <w:rsid w:val="00DF79C4"/>
    <w:rsid w:val="00DF7E6B"/>
    <w:rsid w:val="00E008B2"/>
    <w:rsid w:val="00E0166A"/>
    <w:rsid w:val="00E01A60"/>
    <w:rsid w:val="00E023E6"/>
    <w:rsid w:val="00E04D6E"/>
    <w:rsid w:val="00E04E0C"/>
    <w:rsid w:val="00E056AA"/>
    <w:rsid w:val="00E07EF6"/>
    <w:rsid w:val="00E107F2"/>
    <w:rsid w:val="00E10A6A"/>
    <w:rsid w:val="00E10DF9"/>
    <w:rsid w:val="00E1107A"/>
    <w:rsid w:val="00E11572"/>
    <w:rsid w:val="00E12280"/>
    <w:rsid w:val="00E127C7"/>
    <w:rsid w:val="00E12A84"/>
    <w:rsid w:val="00E136FE"/>
    <w:rsid w:val="00E1513A"/>
    <w:rsid w:val="00E15B9E"/>
    <w:rsid w:val="00E16543"/>
    <w:rsid w:val="00E16AAD"/>
    <w:rsid w:val="00E20462"/>
    <w:rsid w:val="00E20AFE"/>
    <w:rsid w:val="00E20EE2"/>
    <w:rsid w:val="00E214B8"/>
    <w:rsid w:val="00E23006"/>
    <w:rsid w:val="00E2368C"/>
    <w:rsid w:val="00E2404E"/>
    <w:rsid w:val="00E246CF"/>
    <w:rsid w:val="00E24E49"/>
    <w:rsid w:val="00E24EB8"/>
    <w:rsid w:val="00E2685D"/>
    <w:rsid w:val="00E30BAC"/>
    <w:rsid w:val="00E30F5C"/>
    <w:rsid w:val="00E31149"/>
    <w:rsid w:val="00E31F18"/>
    <w:rsid w:val="00E325D3"/>
    <w:rsid w:val="00E32CF5"/>
    <w:rsid w:val="00E33A38"/>
    <w:rsid w:val="00E33A4E"/>
    <w:rsid w:val="00E33CF1"/>
    <w:rsid w:val="00E34C95"/>
    <w:rsid w:val="00E34E20"/>
    <w:rsid w:val="00E35449"/>
    <w:rsid w:val="00E36066"/>
    <w:rsid w:val="00E3637E"/>
    <w:rsid w:val="00E36A9D"/>
    <w:rsid w:val="00E37A3D"/>
    <w:rsid w:val="00E407D1"/>
    <w:rsid w:val="00E40CCB"/>
    <w:rsid w:val="00E411B8"/>
    <w:rsid w:val="00E41802"/>
    <w:rsid w:val="00E41877"/>
    <w:rsid w:val="00E41A8A"/>
    <w:rsid w:val="00E42D74"/>
    <w:rsid w:val="00E43687"/>
    <w:rsid w:val="00E45635"/>
    <w:rsid w:val="00E47493"/>
    <w:rsid w:val="00E504A6"/>
    <w:rsid w:val="00E51171"/>
    <w:rsid w:val="00E51A0B"/>
    <w:rsid w:val="00E52204"/>
    <w:rsid w:val="00E5289D"/>
    <w:rsid w:val="00E53444"/>
    <w:rsid w:val="00E539B4"/>
    <w:rsid w:val="00E542FD"/>
    <w:rsid w:val="00E54791"/>
    <w:rsid w:val="00E54EF2"/>
    <w:rsid w:val="00E55005"/>
    <w:rsid w:val="00E5542C"/>
    <w:rsid w:val="00E55B05"/>
    <w:rsid w:val="00E56A06"/>
    <w:rsid w:val="00E57827"/>
    <w:rsid w:val="00E578D9"/>
    <w:rsid w:val="00E57D3C"/>
    <w:rsid w:val="00E618CD"/>
    <w:rsid w:val="00E61933"/>
    <w:rsid w:val="00E6197F"/>
    <w:rsid w:val="00E63219"/>
    <w:rsid w:val="00E64BCB"/>
    <w:rsid w:val="00E64D6F"/>
    <w:rsid w:val="00E656E5"/>
    <w:rsid w:val="00E65EC4"/>
    <w:rsid w:val="00E66371"/>
    <w:rsid w:val="00E66A76"/>
    <w:rsid w:val="00E66AC8"/>
    <w:rsid w:val="00E7007E"/>
    <w:rsid w:val="00E73313"/>
    <w:rsid w:val="00E738D9"/>
    <w:rsid w:val="00E74794"/>
    <w:rsid w:val="00E74920"/>
    <w:rsid w:val="00E7705D"/>
    <w:rsid w:val="00E80667"/>
    <w:rsid w:val="00E80697"/>
    <w:rsid w:val="00E8094F"/>
    <w:rsid w:val="00E80DB4"/>
    <w:rsid w:val="00E81EF1"/>
    <w:rsid w:val="00E82BBB"/>
    <w:rsid w:val="00E82D35"/>
    <w:rsid w:val="00E82EBD"/>
    <w:rsid w:val="00E84E97"/>
    <w:rsid w:val="00E8627E"/>
    <w:rsid w:val="00E878D3"/>
    <w:rsid w:val="00E90025"/>
    <w:rsid w:val="00E90844"/>
    <w:rsid w:val="00E9123D"/>
    <w:rsid w:val="00E92D31"/>
    <w:rsid w:val="00E9417E"/>
    <w:rsid w:val="00EA0016"/>
    <w:rsid w:val="00EA0F4B"/>
    <w:rsid w:val="00EA11CA"/>
    <w:rsid w:val="00EA12C5"/>
    <w:rsid w:val="00EA2B0D"/>
    <w:rsid w:val="00EA33C2"/>
    <w:rsid w:val="00EA44E6"/>
    <w:rsid w:val="00EA5669"/>
    <w:rsid w:val="00EA7919"/>
    <w:rsid w:val="00EB066E"/>
    <w:rsid w:val="00EB0796"/>
    <w:rsid w:val="00EB332B"/>
    <w:rsid w:val="00EB3F4C"/>
    <w:rsid w:val="00EB4228"/>
    <w:rsid w:val="00EB42B1"/>
    <w:rsid w:val="00EB490F"/>
    <w:rsid w:val="00EB4942"/>
    <w:rsid w:val="00EB5F23"/>
    <w:rsid w:val="00EB60B2"/>
    <w:rsid w:val="00EB668F"/>
    <w:rsid w:val="00EB7224"/>
    <w:rsid w:val="00EB7DC7"/>
    <w:rsid w:val="00EC1897"/>
    <w:rsid w:val="00EC2D36"/>
    <w:rsid w:val="00EC3749"/>
    <w:rsid w:val="00EC38A7"/>
    <w:rsid w:val="00EC42D4"/>
    <w:rsid w:val="00EC4A49"/>
    <w:rsid w:val="00EC4A61"/>
    <w:rsid w:val="00EC4B03"/>
    <w:rsid w:val="00EC523C"/>
    <w:rsid w:val="00EC5B08"/>
    <w:rsid w:val="00EC5D2F"/>
    <w:rsid w:val="00EC7833"/>
    <w:rsid w:val="00EC7BF1"/>
    <w:rsid w:val="00EC7D8F"/>
    <w:rsid w:val="00ED1289"/>
    <w:rsid w:val="00ED2668"/>
    <w:rsid w:val="00ED38FF"/>
    <w:rsid w:val="00ED7069"/>
    <w:rsid w:val="00ED75F1"/>
    <w:rsid w:val="00EE03C7"/>
    <w:rsid w:val="00EE2E33"/>
    <w:rsid w:val="00EE466F"/>
    <w:rsid w:val="00EE46C2"/>
    <w:rsid w:val="00EE635A"/>
    <w:rsid w:val="00EE6517"/>
    <w:rsid w:val="00EE7AE3"/>
    <w:rsid w:val="00EF1144"/>
    <w:rsid w:val="00EF17D8"/>
    <w:rsid w:val="00EF205D"/>
    <w:rsid w:val="00EF2F45"/>
    <w:rsid w:val="00EF3324"/>
    <w:rsid w:val="00EF5452"/>
    <w:rsid w:val="00EF5D5B"/>
    <w:rsid w:val="00EF5EC1"/>
    <w:rsid w:val="00EF6433"/>
    <w:rsid w:val="00EF6499"/>
    <w:rsid w:val="00EF716F"/>
    <w:rsid w:val="00F00720"/>
    <w:rsid w:val="00F00CA7"/>
    <w:rsid w:val="00F01890"/>
    <w:rsid w:val="00F020C6"/>
    <w:rsid w:val="00F029BC"/>
    <w:rsid w:val="00F03098"/>
    <w:rsid w:val="00F0317F"/>
    <w:rsid w:val="00F03522"/>
    <w:rsid w:val="00F05601"/>
    <w:rsid w:val="00F05870"/>
    <w:rsid w:val="00F0606B"/>
    <w:rsid w:val="00F06BEE"/>
    <w:rsid w:val="00F06E16"/>
    <w:rsid w:val="00F07017"/>
    <w:rsid w:val="00F079D2"/>
    <w:rsid w:val="00F1310C"/>
    <w:rsid w:val="00F138D2"/>
    <w:rsid w:val="00F139E5"/>
    <w:rsid w:val="00F14BEE"/>
    <w:rsid w:val="00F154F7"/>
    <w:rsid w:val="00F16265"/>
    <w:rsid w:val="00F1675A"/>
    <w:rsid w:val="00F175F1"/>
    <w:rsid w:val="00F21F5B"/>
    <w:rsid w:val="00F232FA"/>
    <w:rsid w:val="00F249D3"/>
    <w:rsid w:val="00F25623"/>
    <w:rsid w:val="00F27204"/>
    <w:rsid w:val="00F27D56"/>
    <w:rsid w:val="00F30A49"/>
    <w:rsid w:val="00F32344"/>
    <w:rsid w:val="00F32804"/>
    <w:rsid w:val="00F3349B"/>
    <w:rsid w:val="00F3391C"/>
    <w:rsid w:val="00F33CA5"/>
    <w:rsid w:val="00F34141"/>
    <w:rsid w:val="00F348F4"/>
    <w:rsid w:val="00F35677"/>
    <w:rsid w:val="00F37057"/>
    <w:rsid w:val="00F4061F"/>
    <w:rsid w:val="00F41142"/>
    <w:rsid w:val="00F41E4A"/>
    <w:rsid w:val="00F41ECC"/>
    <w:rsid w:val="00F4241E"/>
    <w:rsid w:val="00F426E2"/>
    <w:rsid w:val="00F42882"/>
    <w:rsid w:val="00F429F8"/>
    <w:rsid w:val="00F42D5B"/>
    <w:rsid w:val="00F42E9C"/>
    <w:rsid w:val="00F42F55"/>
    <w:rsid w:val="00F44DDC"/>
    <w:rsid w:val="00F47248"/>
    <w:rsid w:val="00F50899"/>
    <w:rsid w:val="00F519C9"/>
    <w:rsid w:val="00F52229"/>
    <w:rsid w:val="00F525DF"/>
    <w:rsid w:val="00F5379D"/>
    <w:rsid w:val="00F53AD9"/>
    <w:rsid w:val="00F54BF0"/>
    <w:rsid w:val="00F55692"/>
    <w:rsid w:val="00F55E80"/>
    <w:rsid w:val="00F563A7"/>
    <w:rsid w:val="00F56776"/>
    <w:rsid w:val="00F56871"/>
    <w:rsid w:val="00F56DAE"/>
    <w:rsid w:val="00F56DC1"/>
    <w:rsid w:val="00F571A8"/>
    <w:rsid w:val="00F57E55"/>
    <w:rsid w:val="00F61265"/>
    <w:rsid w:val="00F61EE4"/>
    <w:rsid w:val="00F629A5"/>
    <w:rsid w:val="00F63990"/>
    <w:rsid w:val="00F63C82"/>
    <w:rsid w:val="00F6537F"/>
    <w:rsid w:val="00F66050"/>
    <w:rsid w:val="00F6605B"/>
    <w:rsid w:val="00F661A8"/>
    <w:rsid w:val="00F67A9D"/>
    <w:rsid w:val="00F7001C"/>
    <w:rsid w:val="00F70262"/>
    <w:rsid w:val="00F715C7"/>
    <w:rsid w:val="00F71BA9"/>
    <w:rsid w:val="00F72413"/>
    <w:rsid w:val="00F72504"/>
    <w:rsid w:val="00F72985"/>
    <w:rsid w:val="00F72DA3"/>
    <w:rsid w:val="00F73AC5"/>
    <w:rsid w:val="00F73FF5"/>
    <w:rsid w:val="00F741C2"/>
    <w:rsid w:val="00F74C88"/>
    <w:rsid w:val="00F7524F"/>
    <w:rsid w:val="00F75B42"/>
    <w:rsid w:val="00F75EA1"/>
    <w:rsid w:val="00F7646C"/>
    <w:rsid w:val="00F76B77"/>
    <w:rsid w:val="00F76F6E"/>
    <w:rsid w:val="00F77794"/>
    <w:rsid w:val="00F8007C"/>
    <w:rsid w:val="00F800B4"/>
    <w:rsid w:val="00F80278"/>
    <w:rsid w:val="00F8311B"/>
    <w:rsid w:val="00F83712"/>
    <w:rsid w:val="00F83EEE"/>
    <w:rsid w:val="00F85178"/>
    <w:rsid w:val="00F866D7"/>
    <w:rsid w:val="00F86F8C"/>
    <w:rsid w:val="00F8739D"/>
    <w:rsid w:val="00F924C9"/>
    <w:rsid w:val="00F9347E"/>
    <w:rsid w:val="00F95559"/>
    <w:rsid w:val="00F97172"/>
    <w:rsid w:val="00F97A26"/>
    <w:rsid w:val="00F97EBA"/>
    <w:rsid w:val="00FA01B5"/>
    <w:rsid w:val="00FA1337"/>
    <w:rsid w:val="00FA1C1E"/>
    <w:rsid w:val="00FA1DE0"/>
    <w:rsid w:val="00FA2399"/>
    <w:rsid w:val="00FA285A"/>
    <w:rsid w:val="00FA34C1"/>
    <w:rsid w:val="00FA39EC"/>
    <w:rsid w:val="00FA4D4E"/>
    <w:rsid w:val="00FA6C6B"/>
    <w:rsid w:val="00FB03CF"/>
    <w:rsid w:val="00FB19EF"/>
    <w:rsid w:val="00FB2E24"/>
    <w:rsid w:val="00FB3B3F"/>
    <w:rsid w:val="00FB523A"/>
    <w:rsid w:val="00FB5BC7"/>
    <w:rsid w:val="00FB5F85"/>
    <w:rsid w:val="00FB634C"/>
    <w:rsid w:val="00FB63BE"/>
    <w:rsid w:val="00FB6DD4"/>
    <w:rsid w:val="00FC1049"/>
    <w:rsid w:val="00FC1185"/>
    <w:rsid w:val="00FC1305"/>
    <w:rsid w:val="00FC15C9"/>
    <w:rsid w:val="00FC170F"/>
    <w:rsid w:val="00FC1FD5"/>
    <w:rsid w:val="00FC3D3B"/>
    <w:rsid w:val="00FC5683"/>
    <w:rsid w:val="00FC57D5"/>
    <w:rsid w:val="00FC78CB"/>
    <w:rsid w:val="00FD0A89"/>
    <w:rsid w:val="00FD0B33"/>
    <w:rsid w:val="00FD0D69"/>
    <w:rsid w:val="00FD19E1"/>
    <w:rsid w:val="00FD447F"/>
    <w:rsid w:val="00FD48AC"/>
    <w:rsid w:val="00FD4EA1"/>
    <w:rsid w:val="00FD57A0"/>
    <w:rsid w:val="00FD5D11"/>
    <w:rsid w:val="00FD6712"/>
    <w:rsid w:val="00FD694A"/>
    <w:rsid w:val="00FD6DB5"/>
    <w:rsid w:val="00FD6E69"/>
    <w:rsid w:val="00FD75CE"/>
    <w:rsid w:val="00FE0CB3"/>
    <w:rsid w:val="00FE0F95"/>
    <w:rsid w:val="00FE2A2A"/>
    <w:rsid w:val="00FE318C"/>
    <w:rsid w:val="00FE54E5"/>
    <w:rsid w:val="00FE56E4"/>
    <w:rsid w:val="00FE6281"/>
    <w:rsid w:val="00FE62F6"/>
    <w:rsid w:val="00FE7E2A"/>
    <w:rsid w:val="00FF067E"/>
    <w:rsid w:val="00FF08E1"/>
    <w:rsid w:val="00FF0A42"/>
    <w:rsid w:val="00FF0CF9"/>
    <w:rsid w:val="00FF11AC"/>
    <w:rsid w:val="00FF167C"/>
    <w:rsid w:val="00FF20DA"/>
    <w:rsid w:val="00FF21B6"/>
    <w:rsid w:val="00FF7A88"/>
    <w:rsid w:val="00FF7F37"/>
    <w:rsid w:val="018111CC"/>
    <w:rsid w:val="019D09D1"/>
    <w:rsid w:val="01BB4CF6"/>
    <w:rsid w:val="02BD22DD"/>
    <w:rsid w:val="02DA4D87"/>
    <w:rsid w:val="033B64C6"/>
    <w:rsid w:val="03645CBC"/>
    <w:rsid w:val="03823F46"/>
    <w:rsid w:val="043978F0"/>
    <w:rsid w:val="04ED5D5E"/>
    <w:rsid w:val="058A2B1E"/>
    <w:rsid w:val="06264856"/>
    <w:rsid w:val="06E04189"/>
    <w:rsid w:val="073B1BBF"/>
    <w:rsid w:val="085032D7"/>
    <w:rsid w:val="096279C7"/>
    <w:rsid w:val="09C15818"/>
    <w:rsid w:val="0B410977"/>
    <w:rsid w:val="0B713B49"/>
    <w:rsid w:val="0BBB1F94"/>
    <w:rsid w:val="0C2C30DB"/>
    <w:rsid w:val="0CCA26DF"/>
    <w:rsid w:val="0DC64170"/>
    <w:rsid w:val="0E631143"/>
    <w:rsid w:val="0EDD6B5D"/>
    <w:rsid w:val="0F5F6B24"/>
    <w:rsid w:val="11373115"/>
    <w:rsid w:val="12113658"/>
    <w:rsid w:val="1213060F"/>
    <w:rsid w:val="134D33B5"/>
    <w:rsid w:val="13946970"/>
    <w:rsid w:val="139D01E6"/>
    <w:rsid w:val="139E42DF"/>
    <w:rsid w:val="142E4E54"/>
    <w:rsid w:val="16513F18"/>
    <w:rsid w:val="16EE09E8"/>
    <w:rsid w:val="171037CE"/>
    <w:rsid w:val="186E6972"/>
    <w:rsid w:val="18D309DC"/>
    <w:rsid w:val="18EA7E8B"/>
    <w:rsid w:val="191F19B7"/>
    <w:rsid w:val="194574F0"/>
    <w:rsid w:val="194805CC"/>
    <w:rsid w:val="19C05EDE"/>
    <w:rsid w:val="1B5B61FA"/>
    <w:rsid w:val="1C8415A4"/>
    <w:rsid w:val="1CC85BAA"/>
    <w:rsid w:val="1DB56DF0"/>
    <w:rsid w:val="1E316B23"/>
    <w:rsid w:val="1F1C35F8"/>
    <w:rsid w:val="206B11DC"/>
    <w:rsid w:val="210F7E09"/>
    <w:rsid w:val="21BB15E6"/>
    <w:rsid w:val="21D06F27"/>
    <w:rsid w:val="23A24BC4"/>
    <w:rsid w:val="240D51D7"/>
    <w:rsid w:val="254B1347"/>
    <w:rsid w:val="25EA5A00"/>
    <w:rsid w:val="260E572C"/>
    <w:rsid w:val="262470F5"/>
    <w:rsid w:val="266E6117"/>
    <w:rsid w:val="277B638E"/>
    <w:rsid w:val="27FE21D0"/>
    <w:rsid w:val="286877F7"/>
    <w:rsid w:val="29267A75"/>
    <w:rsid w:val="296A0A10"/>
    <w:rsid w:val="29A1348A"/>
    <w:rsid w:val="2A2731EF"/>
    <w:rsid w:val="2BB6328A"/>
    <w:rsid w:val="2C305CE3"/>
    <w:rsid w:val="2D421BE9"/>
    <w:rsid w:val="2D6F4B12"/>
    <w:rsid w:val="2E3318A9"/>
    <w:rsid w:val="2E434D75"/>
    <w:rsid w:val="2E44734A"/>
    <w:rsid w:val="2E995BA4"/>
    <w:rsid w:val="2EED5313"/>
    <w:rsid w:val="2F550B33"/>
    <w:rsid w:val="2F7E49C6"/>
    <w:rsid w:val="2F840962"/>
    <w:rsid w:val="301D672E"/>
    <w:rsid w:val="30A46D30"/>
    <w:rsid w:val="30D27B3E"/>
    <w:rsid w:val="315350DF"/>
    <w:rsid w:val="31AF369B"/>
    <w:rsid w:val="325C4D59"/>
    <w:rsid w:val="32D13D7B"/>
    <w:rsid w:val="33297F3F"/>
    <w:rsid w:val="33701D29"/>
    <w:rsid w:val="33754F8F"/>
    <w:rsid w:val="33CB3F05"/>
    <w:rsid w:val="34B4178D"/>
    <w:rsid w:val="34C765BD"/>
    <w:rsid w:val="35D77684"/>
    <w:rsid w:val="360D00BC"/>
    <w:rsid w:val="36C7786B"/>
    <w:rsid w:val="371864C8"/>
    <w:rsid w:val="38945C5F"/>
    <w:rsid w:val="3A5440AD"/>
    <w:rsid w:val="3C531AF3"/>
    <w:rsid w:val="3D335A11"/>
    <w:rsid w:val="3D3513BC"/>
    <w:rsid w:val="3F32577D"/>
    <w:rsid w:val="3FBD4357"/>
    <w:rsid w:val="400B4830"/>
    <w:rsid w:val="40245D78"/>
    <w:rsid w:val="40E37BB5"/>
    <w:rsid w:val="41DE5E59"/>
    <w:rsid w:val="41E70CD9"/>
    <w:rsid w:val="42E80303"/>
    <w:rsid w:val="43090ED0"/>
    <w:rsid w:val="43500DC7"/>
    <w:rsid w:val="43754FA5"/>
    <w:rsid w:val="43A6766E"/>
    <w:rsid w:val="43A75D6A"/>
    <w:rsid w:val="44817C92"/>
    <w:rsid w:val="44F6624B"/>
    <w:rsid w:val="462272CB"/>
    <w:rsid w:val="47131125"/>
    <w:rsid w:val="47387410"/>
    <w:rsid w:val="47800C50"/>
    <w:rsid w:val="47A90647"/>
    <w:rsid w:val="47E30FC2"/>
    <w:rsid w:val="488E78AC"/>
    <w:rsid w:val="49953031"/>
    <w:rsid w:val="4B2D736D"/>
    <w:rsid w:val="4B6A636F"/>
    <w:rsid w:val="4BE75B3E"/>
    <w:rsid w:val="4BF207E8"/>
    <w:rsid w:val="4BF4241B"/>
    <w:rsid w:val="4DC6000B"/>
    <w:rsid w:val="4E0A0F22"/>
    <w:rsid w:val="4E531F68"/>
    <w:rsid w:val="4F204F91"/>
    <w:rsid w:val="4F4B23B5"/>
    <w:rsid w:val="50DA3C3D"/>
    <w:rsid w:val="51F26D11"/>
    <w:rsid w:val="52905791"/>
    <w:rsid w:val="52C31775"/>
    <w:rsid w:val="52DA73D0"/>
    <w:rsid w:val="52DB380C"/>
    <w:rsid w:val="537901C6"/>
    <w:rsid w:val="53C72BA5"/>
    <w:rsid w:val="540E59D0"/>
    <w:rsid w:val="54621E7D"/>
    <w:rsid w:val="54E078ED"/>
    <w:rsid w:val="55CA3F02"/>
    <w:rsid w:val="55DC19FF"/>
    <w:rsid w:val="561E3D8F"/>
    <w:rsid w:val="56673C7B"/>
    <w:rsid w:val="56CD4C5A"/>
    <w:rsid w:val="57786464"/>
    <w:rsid w:val="57FA098A"/>
    <w:rsid w:val="580406FF"/>
    <w:rsid w:val="59477EA9"/>
    <w:rsid w:val="59F61E36"/>
    <w:rsid w:val="5B5175C9"/>
    <w:rsid w:val="5B8B20D7"/>
    <w:rsid w:val="5C0D1E70"/>
    <w:rsid w:val="5C405A31"/>
    <w:rsid w:val="5C410FB2"/>
    <w:rsid w:val="5C6E11D1"/>
    <w:rsid w:val="5DCB09AC"/>
    <w:rsid w:val="5EE44C44"/>
    <w:rsid w:val="5F6B6A8D"/>
    <w:rsid w:val="6021115F"/>
    <w:rsid w:val="602B45D4"/>
    <w:rsid w:val="606D2E3E"/>
    <w:rsid w:val="612C03D0"/>
    <w:rsid w:val="61382E6E"/>
    <w:rsid w:val="61F138D0"/>
    <w:rsid w:val="62BE38A3"/>
    <w:rsid w:val="64543026"/>
    <w:rsid w:val="64914D37"/>
    <w:rsid w:val="651629F2"/>
    <w:rsid w:val="65F30C05"/>
    <w:rsid w:val="662905B8"/>
    <w:rsid w:val="667C3918"/>
    <w:rsid w:val="668D76DA"/>
    <w:rsid w:val="673D5497"/>
    <w:rsid w:val="67A402A2"/>
    <w:rsid w:val="69D6046E"/>
    <w:rsid w:val="6A241D1B"/>
    <w:rsid w:val="6A2712F0"/>
    <w:rsid w:val="6A577CE6"/>
    <w:rsid w:val="6A857B4C"/>
    <w:rsid w:val="6A992C50"/>
    <w:rsid w:val="6B182E9A"/>
    <w:rsid w:val="6B5648D3"/>
    <w:rsid w:val="6C833C48"/>
    <w:rsid w:val="6C9D52E4"/>
    <w:rsid w:val="6D6E3FFA"/>
    <w:rsid w:val="6E023521"/>
    <w:rsid w:val="6E9D3508"/>
    <w:rsid w:val="706D06B2"/>
    <w:rsid w:val="709201F8"/>
    <w:rsid w:val="7294582E"/>
    <w:rsid w:val="72F7163B"/>
    <w:rsid w:val="73111EAC"/>
    <w:rsid w:val="73266182"/>
    <w:rsid w:val="73521310"/>
    <w:rsid w:val="73725FC2"/>
    <w:rsid w:val="747D23EE"/>
    <w:rsid w:val="759619D3"/>
    <w:rsid w:val="767B78E9"/>
    <w:rsid w:val="778920B9"/>
    <w:rsid w:val="77927F8B"/>
    <w:rsid w:val="77C463FC"/>
    <w:rsid w:val="786E66ED"/>
    <w:rsid w:val="78B605E3"/>
    <w:rsid w:val="79C805FD"/>
    <w:rsid w:val="79E377BF"/>
    <w:rsid w:val="7B432E17"/>
    <w:rsid w:val="7B5932E1"/>
    <w:rsid w:val="7BEC4545"/>
    <w:rsid w:val="7D630289"/>
    <w:rsid w:val="7DBC2BB1"/>
    <w:rsid w:val="7E443678"/>
    <w:rsid w:val="7F1A2173"/>
    <w:rsid w:val="7F4F01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4"/>
      <w:szCs w:val="22"/>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link w:val="31"/>
    <w:unhideWhenUsed/>
    <w:qFormat/>
    <w:uiPriority w:val="99"/>
    <w:pPr>
      <w:keepNext/>
      <w:keepLines/>
      <w:spacing w:beforeLines="50" w:afterLines="50" w:line="440" w:lineRule="exact"/>
      <w:outlineLvl w:val="2"/>
    </w:pPr>
    <w:rPr>
      <w:rFonts w:eastAsia="宋体" w:cs="Times New Roman"/>
      <w:b/>
      <w:bCs/>
      <w:sz w:val="28"/>
      <w:szCs w:val="32"/>
    </w:rPr>
  </w:style>
  <w:style w:type="paragraph" w:styleId="5">
    <w:name w:val="heading 4"/>
    <w:basedOn w:val="1"/>
    <w:next w:val="1"/>
    <w:link w:val="32"/>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6"/>
    <w:basedOn w:val="1"/>
    <w:next w:val="1"/>
    <w:link w:val="33"/>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7">
    <w:name w:val="heading 9"/>
    <w:basedOn w:val="1"/>
    <w:next w:val="1"/>
    <w:link w:val="34"/>
    <w:semiHidden/>
    <w:unhideWhenUsed/>
    <w:qFormat/>
    <w:uiPriority w:val="9"/>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8">
    <w:name w:val="toc 7"/>
    <w:basedOn w:val="1"/>
    <w:next w:val="1"/>
    <w:unhideWhenUsed/>
    <w:qFormat/>
    <w:uiPriority w:val="39"/>
    <w:pPr>
      <w:ind w:left="2520" w:leftChars="1200"/>
    </w:pPr>
    <w:rPr>
      <w:rFonts w:asciiTheme="minorHAnsi" w:hAnsiTheme="minorHAnsi"/>
      <w:sz w:val="21"/>
    </w:rPr>
  </w:style>
  <w:style w:type="paragraph" w:styleId="9">
    <w:name w:val="Document Map"/>
    <w:basedOn w:val="1"/>
    <w:link w:val="45"/>
    <w:unhideWhenUsed/>
    <w:qFormat/>
    <w:uiPriority w:val="99"/>
    <w:rPr>
      <w:rFonts w:ascii="宋体" w:eastAsia="宋体"/>
      <w:sz w:val="18"/>
      <w:szCs w:val="18"/>
    </w:rPr>
  </w:style>
  <w:style w:type="paragraph" w:styleId="10">
    <w:name w:val="Body Text Indent"/>
    <w:basedOn w:val="1"/>
    <w:qFormat/>
    <w:uiPriority w:val="0"/>
    <w:pPr>
      <w:spacing w:line="440" w:lineRule="exact"/>
      <w:ind w:firstLine="560" w:firstLineChars="200"/>
    </w:pPr>
    <w:rPr>
      <w:sz w:val="28"/>
    </w:rPr>
  </w:style>
  <w:style w:type="paragraph" w:styleId="11">
    <w:name w:val="toc 5"/>
    <w:basedOn w:val="1"/>
    <w:next w:val="1"/>
    <w:unhideWhenUsed/>
    <w:qFormat/>
    <w:uiPriority w:val="39"/>
    <w:pPr>
      <w:ind w:left="1680" w:leftChars="800"/>
    </w:pPr>
    <w:rPr>
      <w:rFonts w:asciiTheme="minorHAnsi" w:hAnsiTheme="minorHAnsi"/>
      <w:sz w:val="21"/>
    </w:rPr>
  </w:style>
  <w:style w:type="paragraph" w:styleId="12">
    <w:name w:val="toc 3"/>
    <w:basedOn w:val="1"/>
    <w:next w:val="1"/>
    <w:unhideWhenUsed/>
    <w:qFormat/>
    <w:uiPriority w:val="39"/>
    <w:pPr>
      <w:tabs>
        <w:tab w:val="right" w:leader="dot" w:pos="8880"/>
      </w:tabs>
      <w:spacing w:line="500" w:lineRule="exact"/>
      <w:ind w:firstLine="400" w:firstLineChars="400"/>
    </w:pPr>
  </w:style>
  <w:style w:type="paragraph" w:styleId="13">
    <w:name w:val="Plain Text"/>
    <w:basedOn w:val="1"/>
    <w:qFormat/>
    <w:uiPriority w:val="0"/>
    <w:rPr>
      <w:rFonts w:ascii="宋体" w:hAnsi="Courier New"/>
      <w:sz w:val="24"/>
      <w:szCs w:val="20"/>
    </w:rPr>
  </w:style>
  <w:style w:type="paragraph" w:styleId="14">
    <w:name w:val="toc 8"/>
    <w:basedOn w:val="1"/>
    <w:next w:val="1"/>
    <w:unhideWhenUsed/>
    <w:qFormat/>
    <w:uiPriority w:val="39"/>
    <w:pPr>
      <w:ind w:left="2940" w:leftChars="1400"/>
    </w:pPr>
    <w:rPr>
      <w:rFonts w:asciiTheme="minorHAnsi" w:hAnsiTheme="minorHAnsi"/>
      <w:sz w:val="21"/>
    </w:rPr>
  </w:style>
  <w:style w:type="paragraph" w:styleId="15">
    <w:name w:val="Balloon Text"/>
    <w:basedOn w:val="1"/>
    <w:link w:val="52"/>
    <w:semiHidden/>
    <w:unhideWhenUsed/>
    <w:qFormat/>
    <w:uiPriority w:val="99"/>
    <w:rPr>
      <w:sz w:val="18"/>
      <w:szCs w:val="18"/>
    </w:rPr>
  </w:style>
  <w:style w:type="paragraph" w:styleId="16">
    <w:name w:val="footer"/>
    <w:basedOn w:val="1"/>
    <w:link w:val="46"/>
    <w:unhideWhenUsed/>
    <w:qFormat/>
    <w:uiPriority w:val="99"/>
    <w:pPr>
      <w:tabs>
        <w:tab w:val="center" w:pos="4153"/>
        <w:tab w:val="right" w:pos="8306"/>
      </w:tabs>
      <w:snapToGrid w:val="0"/>
      <w:jc w:val="left"/>
    </w:pPr>
    <w:rPr>
      <w:sz w:val="18"/>
      <w:szCs w:val="18"/>
    </w:rPr>
  </w:style>
  <w:style w:type="paragraph" w:styleId="17">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right" w:leader="dot" w:pos="8880"/>
      </w:tabs>
      <w:spacing w:line="500" w:lineRule="exact"/>
    </w:pPr>
    <w:rPr>
      <w:rFonts w:eastAsia="黑体"/>
      <w:b/>
      <w:sz w:val="30"/>
      <w:szCs w:val="30"/>
    </w:rPr>
  </w:style>
  <w:style w:type="paragraph" w:styleId="19">
    <w:name w:val="toc 4"/>
    <w:basedOn w:val="1"/>
    <w:next w:val="1"/>
    <w:unhideWhenUsed/>
    <w:qFormat/>
    <w:uiPriority w:val="39"/>
    <w:pPr>
      <w:ind w:left="1260" w:leftChars="600"/>
    </w:pPr>
    <w:rPr>
      <w:rFonts w:asciiTheme="minorHAnsi" w:hAnsiTheme="minorHAnsi"/>
      <w:sz w:val="21"/>
    </w:rPr>
  </w:style>
  <w:style w:type="paragraph" w:styleId="20">
    <w:name w:val="toc 6"/>
    <w:basedOn w:val="1"/>
    <w:next w:val="1"/>
    <w:unhideWhenUsed/>
    <w:qFormat/>
    <w:uiPriority w:val="39"/>
    <w:pPr>
      <w:ind w:left="2100" w:leftChars="1000"/>
    </w:pPr>
    <w:rPr>
      <w:rFonts w:asciiTheme="minorHAnsi" w:hAnsiTheme="minorHAnsi"/>
      <w:sz w:val="21"/>
    </w:rPr>
  </w:style>
  <w:style w:type="paragraph" w:styleId="21">
    <w:name w:val="toc 2"/>
    <w:basedOn w:val="1"/>
    <w:next w:val="1"/>
    <w:unhideWhenUsed/>
    <w:qFormat/>
    <w:uiPriority w:val="39"/>
    <w:pPr>
      <w:tabs>
        <w:tab w:val="right" w:leader="dot" w:pos="8880"/>
      </w:tabs>
      <w:spacing w:line="500" w:lineRule="exact"/>
      <w:ind w:firstLine="200" w:firstLineChars="200"/>
    </w:pPr>
    <w:rPr>
      <w:b/>
    </w:rPr>
  </w:style>
  <w:style w:type="paragraph" w:styleId="22">
    <w:name w:val="toc 9"/>
    <w:basedOn w:val="1"/>
    <w:next w:val="1"/>
    <w:unhideWhenUsed/>
    <w:qFormat/>
    <w:uiPriority w:val="39"/>
    <w:pPr>
      <w:ind w:left="3360" w:leftChars="1600"/>
    </w:pPr>
    <w:rPr>
      <w:rFonts w:asciiTheme="minorHAnsi" w:hAnsiTheme="minorHAnsi"/>
      <w:sz w:val="21"/>
    </w:rPr>
  </w:style>
  <w:style w:type="paragraph" w:styleId="23">
    <w:name w:val="Body Text First Indent 2"/>
    <w:basedOn w:val="10"/>
    <w:next w:val="1"/>
    <w:qFormat/>
    <w:uiPriority w:val="0"/>
    <w:pPr>
      <w:spacing w:line="360" w:lineRule="auto"/>
      <w:ind w:firstLine="420" w:firstLineChars="200"/>
      <w:jc w:val="left"/>
    </w:pPr>
    <w:rPr>
      <w:rFonts w:hAnsi="Times New Roman" w:eastAsia="宋体"/>
      <w:kern w:val="2"/>
      <w:szCs w:val="24"/>
    </w:rPr>
  </w:style>
  <w:style w:type="table" w:styleId="25">
    <w:name w:val="Table Grid"/>
    <w:basedOn w:val="2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FollowedHyperlink"/>
    <w:basedOn w:val="26"/>
    <w:semiHidden/>
    <w:unhideWhenUsed/>
    <w:qFormat/>
    <w:uiPriority w:val="99"/>
    <w:rPr>
      <w:color w:val="800080"/>
      <w:u w:val="single"/>
    </w:rPr>
  </w:style>
  <w:style w:type="character" w:styleId="29">
    <w:name w:val="HTML Acronym"/>
    <w:basedOn w:val="26"/>
    <w:qFormat/>
    <w:uiPriority w:val="0"/>
  </w:style>
  <w:style w:type="character" w:styleId="30">
    <w:name w:val="Hyperlink"/>
    <w:basedOn w:val="26"/>
    <w:unhideWhenUsed/>
    <w:qFormat/>
    <w:uiPriority w:val="99"/>
    <w:rPr>
      <w:color w:val="0000FF" w:themeColor="hyperlink"/>
      <w:u w:val="single"/>
    </w:rPr>
  </w:style>
  <w:style w:type="character" w:customStyle="1" w:styleId="31">
    <w:name w:val="标题 3 Char"/>
    <w:basedOn w:val="26"/>
    <w:link w:val="4"/>
    <w:qFormat/>
    <w:uiPriority w:val="99"/>
    <w:rPr>
      <w:rFonts w:ascii="Times New Roman" w:hAnsi="Times New Roman" w:eastAsia="宋体" w:cs="Times New Roman"/>
      <w:b/>
      <w:bCs/>
      <w:sz w:val="28"/>
      <w:szCs w:val="32"/>
    </w:rPr>
  </w:style>
  <w:style w:type="character" w:customStyle="1" w:styleId="32">
    <w:name w:val="标题 4 Char"/>
    <w:basedOn w:val="26"/>
    <w:link w:val="5"/>
    <w:qFormat/>
    <w:uiPriority w:val="0"/>
    <w:rPr>
      <w:rFonts w:asciiTheme="majorHAnsi" w:hAnsiTheme="majorHAnsi" w:eastAsiaTheme="majorEastAsia" w:cstheme="majorBidi"/>
      <w:b/>
      <w:bCs/>
      <w:sz w:val="28"/>
      <w:szCs w:val="28"/>
    </w:rPr>
  </w:style>
  <w:style w:type="character" w:customStyle="1" w:styleId="33">
    <w:name w:val="标题 6 Char"/>
    <w:basedOn w:val="26"/>
    <w:link w:val="6"/>
    <w:qFormat/>
    <w:uiPriority w:val="0"/>
    <w:rPr>
      <w:rFonts w:asciiTheme="majorHAnsi" w:hAnsiTheme="majorHAnsi" w:eastAsiaTheme="majorEastAsia" w:cstheme="majorBidi"/>
      <w:b/>
      <w:bCs/>
      <w:sz w:val="24"/>
      <w:szCs w:val="24"/>
    </w:rPr>
  </w:style>
  <w:style w:type="character" w:customStyle="1" w:styleId="34">
    <w:name w:val="标题 9 Char"/>
    <w:basedOn w:val="26"/>
    <w:link w:val="7"/>
    <w:qFormat/>
    <w:uiPriority w:val="0"/>
    <w:rPr>
      <w:rFonts w:asciiTheme="majorHAnsi" w:hAnsiTheme="majorHAnsi" w:eastAsiaTheme="majorEastAsia" w:cstheme="majorBidi"/>
      <w:szCs w:val="21"/>
    </w:rPr>
  </w:style>
  <w:style w:type="paragraph" w:customStyle="1" w:styleId="35">
    <w:name w:val="DTX-03"/>
    <w:link w:val="36"/>
    <w:qFormat/>
    <w:uiPriority w:val="0"/>
    <w:pPr>
      <w:keepNext/>
      <w:widowControl w:val="0"/>
      <w:adjustRightInd w:val="0"/>
      <w:snapToGrid w:val="0"/>
      <w:spacing w:line="500" w:lineRule="exact"/>
      <w:outlineLvl w:val="2"/>
    </w:pPr>
    <w:rPr>
      <w:rFonts w:ascii="Times Roman" w:hAnsi="Times Roman" w:eastAsia="黑体" w:cs="Times New Roman"/>
      <w:b/>
      <w:kern w:val="2"/>
      <w:sz w:val="24"/>
      <w:szCs w:val="28"/>
      <w:lang w:val="en-US" w:eastAsia="zh-CN" w:bidi="ar-SA"/>
    </w:rPr>
  </w:style>
  <w:style w:type="character" w:customStyle="1" w:styleId="36">
    <w:name w:val="DTX-03 Char"/>
    <w:link w:val="35"/>
    <w:qFormat/>
    <w:uiPriority w:val="0"/>
    <w:rPr>
      <w:rFonts w:ascii="Times Roman" w:hAnsi="Times Roman" w:eastAsia="黑体" w:cs="Times New Roman"/>
      <w:b/>
      <w:sz w:val="24"/>
      <w:szCs w:val="28"/>
    </w:rPr>
  </w:style>
  <w:style w:type="paragraph" w:customStyle="1" w:styleId="37">
    <w:name w:val="DTX-02"/>
    <w:link w:val="38"/>
    <w:qFormat/>
    <w:uiPriority w:val="0"/>
    <w:pPr>
      <w:keepNext/>
      <w:widowControl w:val="0"/>
      <w:tabs>
        <w:tab w:val="left" w:pos="-180"/>
      </w:tabs>
      <w:adjustRightInd w:val="0"/>
      <w:snapToGrid w:val="0"/>
      <w:spacing w:line="540" w:lineRule="exact"/>
      <w:outlineLvl w:val="1"/>
    </w:pPr>
    <w:rPr>
      <w:rFonts w:ascii="Times New Roman" w:hAnsi="Times New Roman" w:eastAsia="黑体" w:cs="Times New Roman"/>
      <w:b/>
      <w:bCs/>
      <w:kern w:val="2"/>
      <w:sz w:val="28"/>
      <w:szCs w:val="24"/>
      <w:lang w:val="en-US" w:eastAsia="zh-CN" w:bidi="ar-SA"/>
    </w:rPr>
  </w:style>
  <w:style w:type="character" w:customStyle="1" w:styleId="38">
    <w:name w:val="DTX-02 Char"/>
    <w:basedOn w:val="26"/>
    <w:link w:val="37"/>
    <w:qFormat/>
    <w:uiPriority w:val="0"/>
    <w:rPr>
      <w:rFonts w:ascii="Times New Roman" w:hAnsi="Times New Roman" w:eastAsia="黑体" w:cs="Times New Roman"/>
      <w:b/>
      <w:bCs/>
      <w:sz w:val="28"/>
      <w:szCs w:val="24"/>
    </w:rPr>
  </w:style>
  <w:style w:type="paragraph" w:customStyle="1" w:styleId="39">
    <w:name w:val="DTX-01"/>
    <w:qFormat/>
    <w:uiPriority w:val="0"/>
    <w:pPr>
      <w:widowControl w:val="0"/>
      <w:adjustRightInd w:val="0"/>
      <w:snapToGrid w:val="0"/>
      <w:spacing w:line="700" w:lineRule="exact"/>
      <w:outlineLvl w:val="0"/>
    </w:pPr>
    <w:rPr>
      <w:rFonts w:ascii="Times New Roman" w:hAnsi="Times New Roman" w:eastAsia="黑体" w:cs="Times New Roman"/>
      <w:b/>
      <w:kern w:val="0"/>
      <w:sz w:val="30"/>
      <w:szCs w:val="20"/>
      <w:lang w:val="en-US" w:eastAsia="zh-CN" w:bidi="ar-SA"/>
    </w:rPr>
  </w:style>
  <w:style w:type="paragraph" w:customStyle="1" w:styleId="40">
    <w:name w:val="BS-WZ"/>
    <w:link w:val="41"/>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41">
    <w:name w:val="BS-WZ Char"/>
    <w:basedOn w:val="26"/>
    <w:link w:val="40"/>
    <w:qFormat/>
    <w:uiPriority w:val="0"/>
    <w:rPr>
      <w:rFonts w:ascii="Times New Roman" w:hAnsi="Times New Roman" w:eastAsia="宋体" w:cs="Times New Roman"/>
      <w:bCs/>
      <w:sz w:val="24"/>
      <w:szCs w:val="24"/>
    </w:rPr>
  </w:style>
  <w:style w:type="paragraph" w:customStyle="1" w:styleId="42">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43">
    <w:name w:val="DTX-WZ"/>
    <w:link w:val="44"/>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4">
    <w:name w:val="DTX-WZ Char"/>
    <w:basedOn w:val="26"/>
    <w:link w:val="43"/>
    <w:qFormat/>
    <w:uiPriority w:val="0"/>
    <w:rPr>
      <w:rFonts w:ascii="Times New Roman" w:hAnsi="Times New Roman" w:eastAsia="宋体" w:cs="Times New Roman"/>
      <w:sz w:val="24"/>
      <w:szCs w:val="24"/>
    </w:rPr>
  </w:style>
  <w:style w:type="character" w:customStyle="1" w:styleId="45">
    <w:name w:val="文档结构图 Char"/>
    <w:basedOn w:val="26"/>
    <w:link w:val="9"/>
    <w:qFormat/>
    <w:uiPriority w:val="99"/>
    <w:rPr>
      <w:rFonts w:ascii="宋体" w:hAnsi="Times New Roman" w:eastAsia="宋体"/>
      <w:sz w:val="18"/>
      <w:szCs w:val="18"/>
    </w:rPr>
  </w:style>
  <w:style w:type="character" w:customStyle="1" w:styleId="46">
    <w:name w:val="页脚 Char"/>
    <w:basedOn w:val="26"/>
    <w:link w:val="16"/>
    <w:qFormat/>
    <w:uiPriority w:val="99"/>
    <w:rPr>
      <w:rFonts w:ascii="Times New Roman" w:hAnsi="Times New Roman"/>
      <w:sz w:val="18"/>
      <w:szCs w:val="18"/>
    </w:rPr>
  </w:style>
  <w:style w:type="character" w:customStyle="1" w:styleId="47">
    <w:name w:val="页眉 Char"/>
    <w:basedOn w:val="26"/>
    <w:link w:val="17"/>
    <w:qFormat/>
    <w:uiPriority w:val="99"/>
    <w:rPr>
      <w:rFonts w:ascii="Times New Roman" w:hAnsi="Times New Roman"/>
      <w:sz w:val="18"/>
      <w:szCs w:val="18"/>
    </w:rPr>
  </w:style>
  <w:style w:type="paragraph" w:customStyle="1" w:styleId="48">
    <w:name w:val="DTX-BT"/>
    <w:next w:val="1"/>
    <w:link w:val="49"/>
    <w:qFormat/>
    <w:uiPriority w:val="0"/>
    <w:pPr>
      <w:widowControl w:val="0"/>
      <w:tabs>
        <w:tab w:val="center" w:pos="4515"/>
        <w:tab w:val="right" w:pos="9030"/>
      </w:tabs>
      <w:adjustRightInd w:val="0"/>
      <w:snapToGrid w:val="0"/>
      <w:spacing w:line="480" w:lineRule="exact"/>
    </w:pPr>
    <w:rPr>
      <w:rFonts w:ascii="Times New Roman" w:hAnsi="Times New Roman" w:eastAsia="黑体" w:cs="Times New Roman"/>
      <w:b/>
      <w:kern w:val="2"/>
      <w:sz w:val="24"/>
      <w:szCs w:val="30"/>
      <w:lang w:val="en-US" w:eastAsia="zh-CN" w:bidi="ar-SA"/>
    </w:rPr>
  </w:style>
  <w:style w:type="character" w:customStyle="1" w:styleId="49">
    <w:name w:val="DTX-BT Char"/>
    <w:basedOn w:val="26"/>
    <w:link w:val="48"/>
    <w:qFormat/>
    <w:uiPriority w:val="0"/>
    <w:rPr>
      <w:rFonts w:ascii="Times New Roman" w:hAnsi="Times New Roman" w:eastAsia="黑体" w:cs="Times New Roman"/>
      <w:b/>
      <w:sz w:val="24"/>
      <w:szCs w:val="30"/>
    </w:rPr>
  </w:style>
  <w:style w:type="paragraph" w:customStyle="1" w:styleId="50">
    <w:name w:val="DTX-BG"/>
    <w:link w:val="51"/>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character" w:customStyle="1" w:styleId="51">
    <w:name w:val="DTX-BG Char"/>
    <w:link w:val="50"/>
    <w:qFormat/>
    <w:uiPriority w:val="0"/>
    <w:rPr>
      <w:rFonts w:ascii="Times New Roman" w:hAnsi="Times New Roman" w:eastAsia="宋体" w:cs="Times New Roman"/>
      <w:szCs w:val="21"/>
    </w:rPr>
  </w:style>
  <w:style w:type="character" w:customStyle="1" w:styleId="52">
    <w:name w:val="批注框文本 Char"/>
    <w:basedOn w:val="26"/>
    <w:link w:val="15"/>
    <w:semiHidden/>
    <w:qFormat/>
    <w:uiPriority w:val="99"/>
    <w:rPr>
      <w:rFonts w:ascii="Times New Roman" w:hAnsi="Times New Roman"/>
      <w:sz w:val="18"/>
      <w:szCs w:val="18"/>
    </w:rPr>
  </w:style>
  <w:style w:type="paragraph" w:customStyle="1" w:styleId="53">
    <w:name w:val="表格内容（居中）"/>
    <w:basedOn w:val="1"/>
    <w:qFormat/>
    <w:uiPriority w:val="0"/>
    <w:pPr>
      <w:jc w:val="center"/>
    </w:pPr>
    <w:rPr>
      <w:rFonts w:eastAsia="宋体" w:cs="宋体"/>
      <w:kern w:val="0"/>
      <w:sz w:val="21"/>
      <w:szCs w:val="20"/>
    </w:rPr>
  </w:style>
  <w:style w:type="paragraph" w:customStyle="1" w:styleId="54">
    <w:name w:val="BS-BG"/>
    <w:link w:val="55"/>
    <w:qFormat/>
    <w:uiPriority w:val="0"/>
    <w:pPr>
      <w:widowControl w:val="0"/>
      <w:adjustRightInd w:val="0"/>
      <w:snapToGrid w:val="0"/>
      <w:spacing w:line="400" w:lineRule="exact"/>
      <w:jc w:val="center"/>
    </w:pPr>
    <w:rPr>
      <w:rFonts w:ascii="Times New Roman" w:hAnsi="Times New Roman" w:eastAsia="宋体" w:cs="Times New Roman"/>
      <w:kern w:val="0"/>
      <w:sz w:val="21"/>
      <w:szCs w:val="30"/>
      <w:lang w:val="en-US" w:eastAsia="zh-CN" w:bidi="ar-SA"/>
    </w:rPr>
  </w:style>
  <w:style w:type="character" w:customStyle="1" w:styleId="55">
    <w:name w:val="BS-BG Char"/>
    <w:basedOn w:val="26"/>
    <w:link w:val="54"/>
    <w:qFormat/>
    <w:uiPriority w:val="0"/>
    <w:rPr>
      <w:rFonts w:ascii="Times New Roman" w:hAnsi="Times New Roman" w:eastAsia="宋体" w:cs="Times New Roman"/>
      <w:kern w:val="0"/>
      <w:szCs w:val="30"/>
    </w:rPr>
  </w:style>
  <w:style w:type="paragraph" w:customStyle="1" w:styleId="56">
    <w:name w:val="BS-BT"/>
    <w:qFormat/>
    <w:uiPriority w:val="0"/>
    <w:pPr>
      <w:widowControl w:val="0"/>
      <w:tabs>
        <w:tab w:val="center" w:pos="4410"/>
        <w:tab w:val="right" w:pos="8820"/>
      </w:tabs>
      <w:adjustRightInd w:val="0"/>
      <w:snapToGrid w:val="0"/>
      <w:spacing w:line="500" w:lineRule="exact"/>
      <w:jc w:val="both"/>
    </w:pPr>
    <w:rPr>
      <w:rFonts w:ascii="Times New Roman" w:hAnsi="Times New Roman" w:eastAsia="黑体" w:cs="Times New Roman"/>
      <w:b/>
      <w:kern w:val="2"/>
      <w:sz w:val="24"/>
      <w:szCs w:val="30"/>
      <w:lang w:val="en-US" w:eastAsia="zh-CN" w:bidi="ar-SA"/>
    </w:rPr>
  </w:style>
  <w:style w:type="character" w:customStyle="1" w:styleId="57">
    <w:name w:val="DTX-WZ Char Char"/>
    <w:basedOn w:val="26"/>
    <w:qFormat/>
    <w:uiPriority w:val="0"/>
    <w:rPr>
      <w:kern w:val="2"/>
      <w:sz w:val="24"/>
      <w:szCs w:val="24"/>
    </w:rPr>
  </w:style>
  <w:style w:type="character" w:customStyle="1" w:styleId="58">
    <w:name w:val="SB-ZW Char Char"/>
    <w:basedOn w:val="26"/>
    <w:link w:val="59"/>
    <w:qFormat/>
    <w:uiPriority w:val="0"/>
    <w:rPr>
      <w:rFonts w:eastAsia="宋体"/>
      <w:sz w:val="24"/>
      <w:szCs w:val="24"/>
    </w:rPr>
  </w:style>
  <w:style w:type="paragraph" w:customStyle="1" w:styleId="59">
    <w:name w:val="SB-ZW"/>
    <w:basedOn w:val="1"/>
    <w:link w:val="58"/>
    <w:qFormat/>
    <w:uiPriority w:val="0"/>
    <w:pPr>
      <w:autoSpaceDE w:val="0"/>
      <w:autoSpaceDN w:val="0"/>
      <w:adjustRightInd w:val="0"/>
      <w:snapToGrid w:val="0"/>
      <w:spacing w:line="500" w:lineRule="exact"/>
      <w:ind w:firstLine="200" w:firstLineChars="200"/>
    </w:pPr>
    <w:rPr>
      <w:rFonts w:eastAsia="宋体" w:asciiTheme="minorHAnsi" w:hAnsiTheme="minorHAnsi"/>
      <w:szCs w:val="24"/>
    </w:rPr>
  </w:style>
  <w:style w:type="character" w:customStyle="1" w:styleId="60">
    <w:name w:val="样式5 Char1"/>
    <w:basedOn w:val="26"/>
    <w:link w:val="61"/>
    <w:qFormat/>
    <w:uiPriority w:val="0"/>
    <w:rPr>
      <w:rFonts w:ascii="宋体" w:hAnsi="宋体" w:eastAsia="Times New Roman" w:cs="宋体"/>
    </w:rPr>
  </w:style>
  <w:style w:type="paragraph" w:customStyle="1" w:styleId="61">
    <w:name w:val="样式5"/>
    <w:basedOn w:val="1"/>
    <w:link w:val="60"/>
    <w:qFormat/>
    <w:uiPriority w:val="0"/>
    <w:pPr>
      <w:widowControl/>
      <w:jc w:val="left"/>
    </w:pPr>
    <w:rPr>
      <w:rFonts w:ascii="宋体" w:hAnsi="宋体" w:eastAsia="Times New Roman" w:cs="宋体"/>
      <w:sz w:val="21"/>
    </w:rPr>
  </w:style>
  <w:style w:type="character" w:customStyle="1" w:styleId="62">
    <w:name w:val="BS-WZ Char Char"/>
    <w:qFormat/>
    <w:uiPriority w:val="0"/>
    <w:rPr>
      <w:bCs/>
      <w:kern w:val="2"/>
      <w:sz w:val="24"/>
      <w:szCs w:val="24"/>
      <w:lang w:val="en-US" w:eastAsia="zh-CN" w:bidi="ar-SA"/>
    </w:rPr>
  </w:style>
  <w:style w:type="character" w:customStyle="1" w:styleId="63">
    <w:name w:val="DTX-BT Char Char"/>
    <w:basedOn w:val="26"/>
    <w:qFormat/>
    <w:uiPriority w:val="0"/>
    <w:rPr>
      <w:rFonts w:eastAsia="黑体"/>
      <w:b/>
      <w:kern w:val="2"/>
      <w:sz w:val="24"/>
      <w:szCs w:val="30"/>
    </w:rPr>
  </w:style>
  <w:style w:type="character" w:customStyle="1" w:styleId="64">
    <w:name w:val="DTX-BG Char Char"/>
    <w:qFormat/>
    <w:uiPriority w:val="0"/>
    <w:rPr>
      <w:kern w:val="2"/>
      <w:sz w:val="21"/>
      <w:szCs w:val="30"/>
    </w:rPr>
  </w:style>
  <w:style w:type="paragraph" w:customStyle="1" w:styleId="65">
    <w:name w:val="清原表格名"/>
    <w:basedOn w:val="1"/>
    <w:link w:val="66"/>
    <w:qFormat/>
    <w:uiPriority w:val="0"/>
    <w:pPr>
      <w:spacing w:line="440" w:lineRule="exact"/>
    </w:pPr>
    <w:rPr>
      <w:rFonts w:eastAsia="宋体" w:cs="Times New Roman"/>
      <w:b/>
      <w:color w:val="000000"/>
      <w:kern w:val="0"/>
      <w:sz w:val="21"/>
      <w:szCs w:val="24"/>
    </w:rPr>
  </w:style>
  <w:style w:type="character" w:customStyle="1" w:styleId="66">
    <w:name w:val="清原表格名 Char"/>
    <w:basedOn w:val="26"/>
    <w:link w:val="65"/>
    <w:qFormat/>
    <w:uiPriority w:val="0"/>
    <w:rPr>
      <w:rFonts w:ascii="Times New Roman" w:hAnsi="Times New Roman" w:eastAsia="宋体" w:cs="Times New Roman"/>
      <w:b/>
      <w:color w:val="000000"/>
      <w:kern w:val="0"/>
      <w:szCs w:val="24"/>
    </w:rPr>
  </w:style>
  <w:style w:type="paragraph" w:customStyle="1" w:styleId="67">
    <w:name w:val="BS-HBT"/>
    <w:qFormat/>
    <w:uiPriority w:val="0"/>
    <w:pPr>
      <w:widowControl w:val="0"/>
      <w:tabs>
        <w:tab w:val="center" w:pos="6615"/>
        <w:tab w:val="right" w:pos="13230"/>
      </w:tabs>
      <w:adjustRightInd w:val="0"/>
      <w:snapToGrid w:val="0"/>
      <w:spacing w:line="500" w:lineRule="exact"/>
      <w:ind w:left="100" w:leftChars="100"/>
      <w:jc w:val="both"/>
    </w:pPr>
    <w:rPr>
      <w:rFonts w:ascii="Times New Roman" w:hAnsi="Times New Roman" w:eastAsia="黑体" w:cs="Times New Roman"/>
      <w:b/>
      <w:kern w:val="2"/>
      <w:sz w:val="24"/>
      <w:szCs w:val="30"/>
      <w:lang w:val="en-US" w:eastAsia="zh-CN" w:bidi="ar-SA"/>
    </w:rPr>
  </w:style>
  <w:style w:type="paragraph" w:customStyle="1" w:styleId="68">
    <w:name w:val="BS-04"/>
    <w:qFormat/>
    <w:uiPriority w:val="0"/>
    <w:pPr>
      <w:keepNext/>
      <w:widowControl w:val="0"/>
      <w:spacing w:line="500" w:lineRule="exact"/>
      <w:jc w:val="both"/>
      <w:outlineLvl w:val="3"/>
    </w:pPr>
    <w:rPr>
      <w:rFonts w:ascii="Times New Roman" w:hAnsi="Times New Roman" w:eastAsia="宋体" w:cs="Times New Roman"/>
      <w:kern w:val="2"/>
      <w:sz w:val="24"/>
      <w:szCs w:val="28"/>
      <w:lang w:val="en-US" w:eastAsia="zh-CN" w:bidi="ar-SA"/>
    </w:rPr>
  </w:style>
  <w:style w:type="paragraph" w:customStyle="1" w:styleId="69">
    <w:name w:val="DTX-HBT"/>
    <w:basedOn w:val="48"/>
    <w:link w:val="70"/>
    <w:qFormat/>
    <w:uiPriority w:val="0"/>
    <w:pPr>
      <w:tabs>
        <w:tab w:val="center" w:pos="6663"/>
        <w:tab w:val="right" w:pos="13608"/>
        <w:tab w:val="clear" w:pos="4515"/>
        <w:tab w:val="clear" w:pos="9030"/>
      </w:tabs>
    </w:pPr>
    <w:rPr>
      <w:snapToGrid w:val="0"/>
      <w:kern w:val="0"/>
    </w:rPr>
  </w:style>
  <w:style w:type="character" w:customStyle="1" w:styleId="70">
    <w:name w:val="DTX-HBT Char"/>
    <w:basedOn w:val="49"/>
    <w:link w:val="69"/>
    <w:qFormat/>
    <w:uiPriority w:val="0"/>
    <w:rPr>
      <w:rFonts w:ascii="Times New Roman" w:hAnsi="Times New Roman" w:eastAsia="黑体" w:cs="Times New Roman"/>
      <w:snapToGrid w:val="0"/>
      <w:kern w:val="0"/>
      <w:sz w:val="24"/>
      <w:szCs w:val="30"/>
    </w:rPr>
  </w:style>
  <w:style w:type="paragraph" w:customStyle="1" w:styleId="71">
    <w:name w:val="清原表格内容"/>
    <w:basedOn w:val="1"/>
    <w:link w:val="72"/>
    <w:qFormat/>
    <w:uiPriority w:val="0"/>
    <w:pPr>
      <w:widowControl/>
      <w:spacing w:line="240" w:lineRule="exact"/>
      <w:ind w:left="-94" w:leftChars="-45" w:right="-63" w:rightChars="-30"/>
      <w:jc w:val="center"/>
    </w:pPr>
    <w:rPr>
      <w:rFonts w:hAnsi="宋体" w:eastAsia="宋体" w:cs="Times New Roman"/>
      <w:kern w:val="0"/>
      <w:sz w:val="21"/>
      <w:szCs w:val="21"/>
    </w:rPr>
  </w:style>
  <w:style w:type="character" w:customStyle="1" w:styleId="72">
    <w:name w:val="清原表格内容 Char"/>
    <w:basedOn w:val="26"/>
    <w:link w:val="71"/>
    <w:qFormat/>
    <w:uiPriority w:val="0"/>
    <w:rPr>
      <w:rFonts w:ascii="Times New Roman" w:hAnsi="宋体" w:eastAsia="宋体" w:cs="Times New Roman"/>
      <w:kern w:val="0"/>
      <w:szCs w:val="21"/>
    </w:rPr>
  </w:style>
  <w:style w:type="paragraph" w:customStyle="1" w:styleId="73">
    <w:name w:val="BS-T"/>
    <w:qFormat/>
    <w:uiPriority w:val="0"/>
    <w:pPr>
      <w:widowControl w:val="0"/>
      <w:adjustRightInd w:val="0"/>
      <w:snapToGrid w:val="0"/>
      <w:jc w:val="center"/>
    </w:pPr>
    <w:rPr>
      <w:rFonts w:ascii="Times New Roman" w:hAnsi="Times New Roman" w:eastAsia="黑体" w:cs="Times New Roman"/>
      <w:kern w:val="0"/>
      <w:sz w:val="18"/>
      <w:szCs w:val="20"/>
      <w:lang w:val="en-US" w:eastAsia="zh-CN" w:bidi="ar-SA"/>
    </w:rPr>
  </w:style>
  <w:style w:type="paragraph" w:customStyle="1" w:styleId="74">
    <w:name w:val="DTX-TM"/>
    <w:basedOn w:val="1"/>
    <w:qFormat/>
    <w:uiPriority w:val="0"/>
    <w:pPr>
      <w:spacing w:line="500" w:lineRule="exact"/>
      <w:jc w:val="center"/>
    </w:pPr>
    <w:rPr>
      <w:rFonts w:hAnsi="黑体" w:eastAsia="黑体" w:cs="Times New Roman"/>
      <w:b/>
      <w:szCs w:val="24"/>
    </w:rPr>
  </w:style>
  <w:style w:type="paragraph" w:customStyle="1" w:styleId="75">
    <w:name w:val="BS-TZ"/>
    <w:qFormat/>
    <w:uiPriority w:val="0"/>
    <w:pPr>
      <w:adjustRightInd w:val="0"/>
      <w:snapToGrid w:val="0"/>
      <w:spacing w:line="500" w:lineRule="exact"/>
      <w:jc w:val="center"/>
    </w:pPr>
    <w:rPr>
      <w:rFonts w:ascii="Times New Roman" w:hAnsi="Times New Roman" w:eastAsia="黑体" w:cs="Times New Roman"/>
      <w:b/>
      <w:kern w:val="0"/>
      <w:sz w:val="24"/>
      <w:szCs w:val="32"/>
      <w:lang w:val="en-US" w:eastAsia="zh-CN" w:bidi="ar-SA"/>
    </w:rPr>
  </w:style>
  <w:style w:type="paragraph" w:customStyle="1" w:styleId="76">
    <w:name w:val="DTX-T"/>
    <w:qFormat/>
    <w:uiPriority w:val="0"/>
    <w:pPr>
      <w:widowControl w:val="0"/>
      <w:adjustRightInd w:val="0"/>
      <w:jc w:val="center"/>
    </w:pPr>
    <w:rPr>
      <w:rFonts w:ascii="Times New Roman" w:hAnsi="Times New Roman" w:eastAsia="宋体" w:cs="Times New Roman"/>
      <w:kern w:val="2"/>
      <w:sz w:val="24"/>
      <w:szCs w:val="24"/>
      <w:lang w:val="en-US" w:eastAsia="zh-CN" w:bidi="ar-SA"/>
    </w:rPr>
  </w:style>
  <w:style w:type="character" w:customStyle="1" w:styleId="77">
    <w:name w:val="BS-03 Char"/>
    <w:link w:val="78"/>
    <w:qFormat/>
    <w:uiPriority w:val="0"/>
    <w:rPr>
      <w:rFonts w:ascii="Times New Roman" w:hAnsi="Times New Roman" w:eastAsia="黑体" w:cs="Times New Roman"/>
      <w:b/>
      <w:sz w:val="24"/>
      <w:szCs w:val="28"/>
    </w:rPr>
  </w:style>
  <w:style w:type="paragraph" w:customStyle="1" w:styleId="78">
    <w:name w:val="BS-03"/>
    <w:link w:val="77"/>
    <w:qFormat/>
    <w:uiPriority w:val="0"/>
    <w:pPr>
      <w:keepNext/>
      <w:keepLines/>
      <w:widowControl w:val="0"/>
      <w:adjustRightInd w:val="0"/>
      <w:snapToGrid w:val="0"/>
      <w:spacing w:line="500" w:lineRule="exact"/>
      <w:jc w:val="both"/>
      <w:outlineLvl w:val="2"/>
    </w:pPr>
    <w:rPr>
      <w:rFonts w:ascii="Times New Roman" w:hAnsi="Times New Roman" w:eastAsia="黑体" w:cs="Times New Roman"/>
      <w:b/>
      <w:kern w:val="2"/>
      <w:sz w:val="24"/>
      <w:szCs w:val="28"/>
      <w:lang w:val="en-US" w:eastAsia="zh-CN" w:bidi="ar-SA"/>
    </w:rPr>
  </w:style>
  <w:style w:type="paragraph" w:customStyle="1" w:styleId="7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0">
    <w:name w:val="font6"/>
    <w:basedOn w:val="1"/>
    <w:qFormat/>
    <w:uiPriority w:val="0"/>
    <w:pPr>
      <w:widowControl/>
      <w:spacing w:before="100" w:beforeAutospacing="1" w:after="100" w:afterAutospacing="1"/>
      <w:jc w:val="left"/>
    </w:pPr>
    <w:rPr>
      <w:rFonts w:ascii="宋体" w:hAnsi="宋体" w:eastAsia="宋体" w:cs="宋体"/>
      <w:kern w:val="0"/>
      <w:szCs w:val="24"/>
    </w:rPr>
  </w:style>
  <w:style w:type="paragraph" w:customStyle="1" w:styleId="81">
    <w:name w:val="font7"/>
    <w:basedOn w:val="1"/>
    <w:qFormat/>
    <w:uiPriority w:val="0"/>
    <w:pPr>
      <w:widowControl/>
      <w:spacing w:before="100" w:beforeAutospacing="1" w:after="100" w:afterAutospacing="1"/>
      <w:jc w:val="left"/>
    </w:pPr>
    <w:rPr>
      <w:rFonts w:ascii="宋体" w:hAnsi="宋体" w:eastAsia="宋体" w:cs="宋体"/>
      <w:color w:val="000000"/>
      <w:kern w:val="0"/>
      <w:szCs w:val="24"/>
    </w:rPr>
  </w:style>
  <w:style w:type="paragraph" w:customStyle="1" w:styleId="82">
    <w:name w:val="xl8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3">
    <w:name w:val="xl8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4">
    <w:name w:val="xl8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Cs w:val="24"/>
    </w:rPr>
  </w:style>
  <w:style w:type="paragraph" w:customStyle="1" w:styleId="85">
    <w:name w:val="xl8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6">
    <w:name w:val="xl89"/>
    <w:basedOn w:val="1"/>
    <w:qFormat/>
    <w:uiPriority w:val="0"/>
    <w:pPr>
      <w:widowControl/>
      <w:spacing w:before="100" w:beforeAutospacing="1" w:after="100" w:afterAutospacing="1"/>
      <w:jc w:val="left"/>
      <w:textAlignment w:val="center"/>
    </w:pPr>
    <w:rPr>
      <w:rFonts w:ascii="宋体" w:hAnsi="宋体" w:eastAsia="宋体" w:cs="宋体"/>
      <w:kern w:val="0"/>
      <w:szCs w:val="24"/>
    </w:rPr>
  </w:style>
  <w:style w:type="paragraph" w:customStyle="1" w:styleId="87">
    <w:name w:val="xl90"/>
    <w:basedOn w:val="1"/>
    <w:qFormat/>
    <w:uiPriority w:val="0"/>
    <w:pPr>
      <w:widowControl/>
      <w:spacing w:before="100" w:beforeAutospacing="1" w:after="100" w:afterAutospacing="1"/>
      <w:jc w:val="center"/>
      <w:textAlignment w:val="center"/>
    </w:pPr>
    <w:rPr>
      <w:rFonts w:ascii="宋体" w:hAnsi="宋体" w:eastAsia="宋体" w:cs="宋体"/>
      <w:kern w:val="0"/>
      <w:szCs w:val="24"/>
    </w:rPr>
  </w:style>
  <w:style w:type="paragraph" w:customStyle="1" w:styleId="88">
    <w:name w:val="xl9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89">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9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4">
    <w:name w:val="xl9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5">
    <w:name w:val="xl9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6">
    <w:name w:val="xl9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7">
    <w:name w:val="xl10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8">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99">
    <w:name w:val="xl10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0">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1">
    <w:name w:val="xl104"/>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2">
    <w:name w:val="xl10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3">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0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0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7">
    <w:name w:val="xl110"/>
    <w:basedOn w:val="1"/>
    <w:qFormat/>
    <w:uiPriority w:val="0"/>
    <w:pPr>
      <w:widowControl/>
      <w:spacing w:before="100" w:beforeAutospacing="1" w:after="100" w:afterAutospacing="1"/>
      <w:jc w:val="left"/>
    </w:pPr>
    <w:rPr>
      <w:rFonts w:ascii="宋体" w:hAnsi="宋体" w:eastAsia="宋体" w:cs="宋体"/>
      <w:b/>
      <w:bCs/>
      <w:kern w:val="0"/>
      <w:szCs w:val="24"/>
    </w:rPr>
  </w:style>
  <w:style w:type="paragraph" w:customStyle="1" w:styleId="108">
    <w:name w:val="xl11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9">
    <w:name w:val="xl112"/>
    <w:basedOn w:val="1"/>
    <w:qFormat/>
    <w:uiPriority w:val="0"/>
    <w:pPr>
      <w:widowControl/>
      <w:spacing w:before="100" w:beforeAutospacing="1" w:after="100" w:afterAutospacing="1"/>
      <w:jc w:val="left"/>
    </w:pPr>
    <w:rPr>
      <w:rFonts w:ascii="宋体" w:hAnsi="宋体" w:eastAsia="宋体" w:cs="宋体"/>
      <w:b/>
      <w:bCs/>
      <w:color w:val="000000"/>
      <w:kern w:val="0"/>
      <w:szCs w:val="24"/>
    </w:rPr>
  </w:style>
  <w:style w:type="paragraph" w:customStyle="1" w:styleId="11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2">
    <w:name w:val="xl11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3">
    <w:name w:val="xl116"/>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14">
    <w:name w:val="xl1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5">
    <w:name w:val="xl1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6">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7">
    <w:name w:val="xl12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8">
    <w:name w:val="xl12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9">
    <w:name w:val="xl12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20">
    <w:name w:val="xl12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1">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2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3">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24">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5">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b/>
      <w:bCs/>
      <w:kern w:val="0"/>
      <w:szCs w:val="24"/>
    </w:rPr>
  </w:style>
  <w:style w:type="paragraph" w:customStyle="1" w:styleId="126">
    <w:name w:val="xl12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7">
    <w:name w:val="xl1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8">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29">
    <w:name w:val="xl13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30">
    <w:name w:val="xl13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kern w:val="0"/>
      <w:szCs w:val="24"/>
    </w:rPr>
  </w:style>
  <w:style w:type="paragraph" w:customStyle="1" w:styleId="131">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32">
    <w:name w:val="xl135"/>
    <w:basedOn w:val="1"/>
    <w:qFormat/>
    <w:uiPriority w:val="0"/>
    <w:pPr>
      <w:widowControl/>
      <w:spacing w:before="100" w:beforeAutospacing="1" w:after="100" w:afterAutospacing="1"/>
      <w:jc w:val="right"/>
      <w:textAlignment w:val="center"/>
    </w:pPr>
    <w:rPr>
      <w:rFonts w:ascii="宋体" w:hAnsi="宋体" w:eastAsia="宋体" w:cs="宋体"/>
      <w:kern w:val="0"/>
      <w:szCs w:val="24"/>
    </w:rPr>
  </w:style>
  <w:style w:type="paragraph" w:customStyle="1" w:styleId="133">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4">
    <w:name w:val="xl1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5">
    <w:name w:val="xl13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6">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7">
    <w:name w:val="xl14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8">
    <w:name w:val="xl14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9">
    <w:name w:val="xl14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宋体" w:hAnsi="宋体" w:eastAsia="宋体" w:cs="宋体"/>
      <w:kern w:val="0"/>
      <w:szCs w:val="24"/>
    </w:rPr>
  </w:style>
  <w:style w:type="paragraph" w:customStyle="1" w:styleId="140">
    <w:name w:val="xl1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1">
    <w:name w:val="xl144"/>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42">
    <w:name w:val="xl1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3">
    <w:name w:val="xl1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宋体" w:hAnsi="宋体" w:eastAsia="宋体" w:cs="宋体"/>
      <w:kern w:val="0"/>
      <w:szCs w:val="24"/>
    </w:rPr>
  </w:style>
  <w:style w:type="paragraph" w:customStyle="1" w:styleId="144">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5">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6">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7">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8">
    <w:name w:val="xl151"/>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9">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50">
    <w:name w:val="xl153"/>
    <w:basedOn w:val="1"/>
    <w:qFormat/>
    <w:uiPriority w:val="0"/>
    <w:pPr>
      <w:widowControl/>
      <w:spacing w:before="100" w:beforeAutospacing="1" w:after="100" w:afterAutospacing="1"/>
      <w:jc w:val="center"/>
      <w:textAlignment w:val="center"/>
    </w:pPr>
    <w:rPr>
      <w:rFonts w:ascii="宋体" w:hAnsi="宋体" w:eastAsia="宋体" w:cs="宋体"/>
      <w:b/>
      <w:bCs/>
      <w:kern w:val="0"/>
      <w:sz w:val="32"/>
      <w:szCs w:val="32"/>
    </w:rPr>
  </w:style>
  <w:style w:type="character" w:customStyle="1" w:styleId="151">
    <w:name w:val="0JH-正文 Char"/>
    <w:link w:val="152"/>
    <w:qFormat/>
    <w:uiPriority w:val="0"/>
    <w:rPr>
      <w:sz w:val="24"/>
      <w:szCs w:val="24"/>
    </w:rPr>
  </w:style>
  <w:style w:type="paragraph" w:customStyle="1" w:styleId="152">
    <w:name w:val="0JH-正文"/>
    <w:link w:val="151"/>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24"/>
      <w:lang w:val="en-US" w:eastAsia="zh-CN" w:bidi="ar-SA"/>
    </w:rPr>
  </w:style>
  <w:style w:type="paragraph" w:customStyle="1" w:styleId="153">
    <w:name w:val="LL-ZW"/>
    <w:basedOn w:val="1"/>
    <w:link w:val="154"/>
    <w:qFormat/>
    <w:uiPriority w:val="0"/>
    <w:pPr>
      <w:adjustRightInd w:val="0"/>
      <w:snapToGrid w:val="0"/>
      <w:spacing w:line="500" w:lineRule="exact"/>
      <w:ind w:firstLine="200" w:firstLineChars="200"/>
    </w:pPr>
    <w:rPr>
      <w:rFonts w:eastAsia="宋体" w:cs="Times New Roman"/>
      <w:szCs w:val="24"/>
    </w:rPr>
  </w:style>
  <w:style w:type="character" w:customStyle="1" w:styleId="154">
    <w:name w:val="LL-ZW Char"/>
    <w:basedOn w:val="26"/>
    <w:link w:val="153"/>
    <w:qFormat/>
    <w:uiPriority w:val="0"/>
    <w:rPr>
      <w:rFonts w:ascii="Times New Roman" w:hAnsi="Times New Roman" w:eastAsia="宋体" w:cs="Times New Roman"/>
      <w:sz w:val="24"/>
      <w:szCs w:val="24"/>
    </w:rPr>
  </w:style>
  <w:style w:type="paragraph" w:customStyle="1" w:styleId="155">
    <w:name w:val="表头"/>
    <w:basedOn w:val="1"/>
    <w:link w:val="156"/>
    <w:qFormat/>
    <w:uiPriority w:val="0"/>
    <w:pPr>
      <w:tabs>
        <w:tab w:val="center" w:pos="4440"/>
        <w:tab w:val="right" w:pos="8880"/>
      </w:tabs>
      <w:adjustRightInd w:val="0"/>
      <w:snapToGrid w:val="0"/>
      <w:spacing w:line="500" w:lineRule="exact"/>
    </w:pPr>
    <w:rPr>
      <w:rFonts w:eastAsia="黑体" w:cs="Times New Roman"/>
      <w:b/>
      <w:szCs w:val="24"/>
    </w:rPr>
  </w:style>
  <w:style w:type="character" w:customStyle="1" w:styleId="156">
    <w:name w:val="表头 Char"/>
    <w:basedOn w:val="26"/>
    <w:link w:val="155"/>
    <w:qFormat/>
    <w:uiPriority w:val="0"/>
    <w:rPr>
      <w:rFonts w:ascii="Times New Roman" w:hAnsi="Times New Roman" w:eastAsia="黑体" w:cs="Times New Roman"/>
      <w:b/>
      <w:sz w:val="24"/>
      <w:szCs w:val="24"/>
    </w:rPr>
  </w:style>
  <w:style w:type="paragraph" w:customStyle="1" w:styleId="157">
    <w:name w:val="表格20"/>
    <w:basedOn w:val="1"/>
    <w:link w:val="158"/>
    <w:qFormat/>
    <w:uiPriority w:val="0"/>
    <w:pPr>
      <w:adjustRightInd w:val="0"/>
      <w:snapToGrid w:val="0"/>
      <w:spacing w:line="400" w:lineRule="exact"/>
      <w:jc w:val="center"/>
    </w:pPr>
    <w:rPr>
      <w:rFonts w:eastAsia="宋体" w:cs="Times New Roman"/>
      <w:sz w:val="21"/>
      <w:szCs w:val="24"/>
    </w:rPr>
  </w:style>
  <w:style w:type="character" w:customStyle="1" w:styleId="158">
    <w:name w:val="表格20 Char"/>
    <w:basedOn w:val="26"/>
    <w:link w:val="157"/>
    <w:qFormat/>
    <w:uiPriority w:val="0"/>
    <w:rPr>
      <w:rFonts w:ascii="Times New Roman" w:hAnsi="Times New Roman" w:eastAsia="宋体" w:cs="Times New Roman"/>
      <w:szCs w:val="24"/>
    </w:rPr>
  </w:style>
  <w:style w:type="character" w:styleId="159">
    <w:name w:val="Placeholder Text"/>
    <w:basedOn w:val="26"/>
    <w:semiHidden/>
    <w:qFormat/>
    <w:uiPriority w:val="99"/>
    <w:rPr>
      <w:color w:val="808080"/>
    </w:rPr>
  </w:style>
  <w:style w:type="character" w:customStyle="1" w:styleId="160">
    <w:name w:val="PT-WZ Char"/>
    <w:link w:val="161"/>
    <w:qFormat/>
    <w:uiPriority w:val="0"/>
    <w:rPr>
      <w:sz w:val="24"/>
      <w:szCs w:val="30"/>
    </w:rPr>
  </w:style>
  <w:style w:type="paragraph" w:customStyle="1" w:styleId="161">
    <w:name w:val="PT-WZ"/>
    <w:link w:val="160"/>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30"/>
      <w:lang w:val="en-US" w:eastAsia="zh-CN" w:bidi="ar-SA"/>
    </w:rPr>
  </w:style>
  <w:style w:type="paragraph" w:customStyle="1" w:styleId="162">
    <w:name w:val="清原正文"/>
    <w:basedOn w:val="1"/>
    <w:link w:val="163"/>
    <w:qFormat/>
    <w:uiPriority w:val="0"/>
    <w:pPr>
      <w:adjustRightInd w:val="0"/>
      <w:snapToGrid w:val="0"/>
      <w:spacing w:line="500" w:lineRule="exact"/>
      <w:ind w:firstLine="200" w:firstLineChars="200"/>
    </w:pPr>
    <w:rPr>
      <w:rFonts w:eastAsia="宋体" w:cs="Times New Roman"/>
      <w:szCs w:val="24"/>
    </w:rPr>
  </w:style>
  <w:style w:type="character" w:customStyle="1" w:styleId="163">
    <w:name w:val="啦啦啦啦啦 Char"/>
    <w:link w:val="162"/>
    <w:qFormat/>
    <w:uiPriority w:val="0"/>
    <w:rPr>
      <w:rFonts w:ascii="Times New Roman" w:hAnsi="Times New Roman" w:eastAsia="宋体" w:cs="Times New Roman"/>
      <w:sz w:val="24"/>
      <w:szCs w:val="24"/>
    </w:rPr>
  </w:style>
  <w:style w:type="paragraph" w:customStyle="1" w:styleId="164">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5">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font10"/>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67">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68">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宋体" w:cs="Times New Roman"/>
      <w:kern w:val="0"/>
      <w:sz w:val="22"/>
    </w:rPr>
  </w:style>
  <w:style w:type="paragraph" w:customStyle="1" w:styleId="169">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0">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1">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2">
    <w:name w:val="xl159"/>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3">
    <w:name w:val="xl160"/>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4">
    <w:name w:val="xl161"/>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5">
    <w:name w:val="xl16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6">
    <w:name w:val="xl16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77">
    <w:name w:val="xl16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8">
    <w:name w:val="xl16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9">
    <w:name w:val="xl166"/>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0">
    <w:name w:val="xl16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1">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2">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3">
    <w:name w:val="xl1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4">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5">
    <w:name w:val="xl17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paragraph" w:customStyle="1" w:styleId="186">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7">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8">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9">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0">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2"/>
    </w:rPr>
  </w:style>
  <w:style w:type="paragraph" w:customStyle="1" w:styleId="191">
    <w:name w:val="xl17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92">
    <w:name w:val="xl17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3">
    <w:name w:val="xl18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4">
    <w:name w:val="xl18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character" w:customStyle="1" w:styleId="195">
    <w:name w:val="SB-ZW Char"/>
    <w:qFormat/>
    <w:uiPriority w:val="0"/>
    <w:rPr>
      <w:sz w:val="24"/>
      <w:szCs w:val="24"/>
    </w:rPr>
  </w:style>
  <w:style w:type="paragraph" w:customStyle="1" w:styleId="196">
    <w:name w:val="g刷正文"/>
    <w:basedOn w:val="1"/>
    <w:qFormat/>
    <w:uiPriority w:val="0"/>
    <w:pPr>
      <w:spacing w:line="480" w:lineRule="exact"/>
      <w:ind w:firstLine="200" w:firstLineChars="200"/>
    </w:pPr>
    <w:rPr>
      <w:rFonts w:eastAsia="仿宋_GB2312"/>
      <w:sz w:val="28"/>
      <w:szCs w:val="28"/>
    </w:rPr>
  </w:style>
  <w:style w:type="paragraph" w:customStyle="1" w:styleId="197">
    <w:name w:val="_ 正文格式"/>
    <w:basedOn w:val="1"/>
    <w:qFormat/>
    <w:uiPriority w:val="0"/>
    <w:pPr>
      <w:spacing w:line="480" w:lineRule="exact"/>
      <w:ind w:firstLine="200" w:firstLineChars="200"/>
    </w:pPr>
    <w:rPr>
      <w:rFonts w:eastAsia="仿宋_GB2312"/>
      <w:sz w:val="28"/>
    </w:rPr>
  </w:style>
  <w:style w:type="character" w:customStyle="1" w:styleId="198">
    <w:name w:val="font01"/>
    <w:basedOn w:val="26"/>
    <w:qFormat/>
    <w:uiPriority w:val="0"/>
    <w:rPr>
      <w:rFonts w:hint="default" w:ascii="仿宋_GB2312" w:eastAsia="仿宋_GB2312" w:cs="仿宋_GB2312"/>
      <w:b/>
      <w:color w:val="000000"/>
      <w:sz w:val="21"/>
      <w:szCs w:val="21"/>
      <w:u w:val="none"/>
    </w:rPr>
  </w:style>
  <w:style w:type="character" w:customStyle="1" w:styleId="199">
    <w:name w:val="font101"/>
    <w:basedOn w:val="26"/>
    <w:qFormat/>
    <w:uiPriority w:val="0"/>
    <w:rPr>
      <w:rFonts w:hint="default" w:ascii="Times New Roman" w:hAnsi="Times New Roman" w:cs="Times New Roman"/>
      <w:color w:val="000000"/>
      <w:sz w:val="21"/>
      <w:szCs w:val="21"/>
      <w:u w:val="none"/>
    </w:rPr>
  </w:style>
  <w:style w:type="character" w:customStyle="1" w:styleId="200">
    <w:name w:val="font51"/>
    <w:basedOn w:val="26"/>
    <w:qFormat/>
    <w:uiPriority w:val="0"/>
    <w:rPr>
      <w:rFonts w:hint="default" w:ascii="仿宋_GB2312" w:eastAsia="仿宋_GB2312" w:cs="仿宋_GB2312"/>
      <w:color w:val="000000"/>
      <w:sz w:val="21"/>
      <w:szCs w:val="21"/>
      <w:u w:val="none"/>
    </w:rPr>
  </w:style>
  <w:style w:type="character" w:customStyle="1" w:styleId="201">
    <w:name w:val="font111"/>
    <w:basedOn w:val="26"/>
    <w:qFormat/>
    <w:uiPriority w:val="0"/>
    <w:rPr>
      <w:rFonts w:hint="default" w:ascii="仿宋_GB2312" w:eastAsia="仿宋_GB2312" w:cs="仿宋_GB2312"/>
      <w:b/>
      <w:color w:val="000000"/>
      <w:sz w:val="21"/>
      <w:szCs w:val="21"/>
      <w:u w:val="none"/>
    </w:rPr>
  </w:style>
  <w:style w:type="character" w:customStyle="1" w:styleId="202">
    <w:name w:val="font121"/>
    <w:basedOn w:val="26"/>
    <w:qFormat/>
    <w:uiPriority w:val="0"/>
    <w:rPr>
      <w:rFonts w:hint="default" w:ascii="仿宋_GB2312" w:eastAsia="仿宋_GB2312" w:cs="仿宋_GB2312"/>
      <w:b/>
      <w:color w:val="000000"/>
      <w:sz w:val="21"/>
      <w:szCs w:val="21"/>
      <w:u w:val="none"/>
    </w:rPr>
  </w:style>
  <w:style w:type="character" w:customStyle="1" w:styleId="203">
    <w:name w:val="font161"/>
    <w:basedOn w:val="26"/>
    <w:qFormat/>
    <w:uiPriority w:val="0"/>
    <w:rPr>
      <w:rFonts w:hint="default" w:ascii="Times New Roman" w:hAnsi="Times New Roman" w:cs="Times New Roman"/>
      <w:color w:val="000000"/>
      <w:sz w:val="21"/>
      <w:szCs w:val="21"/>
      <w:u w:val="none"/>
    </w:rPr>
  </w:style>
  <w:style w:type="paragraph" w:customStyle="1" w:styleId="204">
    <w:name w:val="Table Paragraph"/>
    <w:basedOn w:val="1"/>
    <w:qFormat/>
    <w:uiPriority w:val="1"/>
    <w:pPr>
      <w:jc w:val="center"/>
    </w:pPr>
    <w:rPr>
      <w:rFonts w:ascii="仿宋_GB2312" w:hAnsi="仿宋_GB2312" w:eastAsia="仿宋_GB2312" w:cs="仿宋_GB2312"/>
      <w:lang w:val="zh-CN" w:eastAsia="zh-CN" w:bidi="zh-CN"/>
    </w:rPr>
  </w:style>
  <w:style w:type="character" w:customStyle="1" w:styleId="205">
    <w:name w:val="font61"/>
    <w:basedOn w:val="26"/>
    <w:qFormat/>
    <w:uiPriority w:val="0"/>
    <w:rPr>
      <w:rFonts w:hint="default" w:ascii="仿宋_GB2312" w:eastAsia="仿宋_GB2312" w:cs="仿宋_GB2312"/>
      <w:color w:val="000000"/>
      <w:sz w:val="21"/>
      <w:szCs w:val="21"/>
      <w:u w:val="none"/>
    </w:rPr>
  </w:style>
  <w:style w:type="paragraph" w:customStyle="1" w:styleId="206">
    <w:name w:val="_正文格式"/>
    <w:basedOn w:val="1"/>
    <w:qFormat/>
    <w:uiPriority w:val="0"/>
    <w:pPr>
      <w:spacing w:line="560" w:lineRule="exact"/>
      <w:ind w:firstLine="567"/>
    </w:pPr>
    <w:rPr>
      <w:rFonts w:ascii="仿宋_GB2312" w:eastAsia="仿宋_GB2312"/>
      <w:sz w:val="28"/>
    </w:rPr>
  </w:style>
  <w:style w:type="character" w:customStyle="1" w:styleId="207">
    <w:name w:val="font81"/>
    <w:basedOn w:val="26"/>
    <w:qFormat/>
    <w:uiPriority w:val="0"/>
    <w:rPr>
      <w:rFonts w:hint="default" w:ascii="仿宋_GB2312" w:eastAsia="仿宋_GB2312" w:cs="仿宋_GB2312"/>
      <w:b/>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wmf"/><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E00E17-06FA-467B-83B1-57446C3D63EE}">
  <ds:schemaRefs/>
</ds:datastoreItem>
</file>

<file path=docProps/app.xml><?xml version="1.0" encoding="utf-8"?>
<Properties xmlns="http://schemas.openxmlformats.org/officeDocument/2006/extended-properties" xmlns:vt="http://schemas.openxmlformats.org/officeDocument/2006/docPropsVTypes">
  <Template>Normal</Template>
  <Company>NIDR</Company>
  <Pages>1</Pages>
  <Words>887</Words>
  <Characters>5061</Characters>
  <Lines>42</Lines>
  <Paragraphs>11</Paragraphs>
  <TotalTime>0</TotalTime>
  <ScaleCrop>false</ScaleCrop>
  <LinksUpToDate>false</LinksUpToDate>
  <CharactersWithSpaces>5937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2019-05-23T01:22:00Z</dcterms:created>
  <dc:creator>lenovo</dc:creator>
  <cp:lastModifiedBy>杨洋</cp:lastModifiedBy>
  <cp:lastPrinted>2019-11-04T11:34:00Z</cp:lastPrinted>
  <dcterms:modified xsi:type="dcterms:W3CDTF">2021-03-27T11:05:15Z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